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spacing w:after="40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Modelo de contrato de consultoría e interventoría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modelo de contrato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IDENTIFICACIÓN DEL CONTRATO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Municipio de San Pedro, Valle del Cauca - NIT 800.100.526-3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o razón social, identificación y representación]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en números y letras]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 de ejecución]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Modalidad / causal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modalidad y fundamento]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SECOP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enlace]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del contrato de consultoría/interventoría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nombre/cargo]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vigilado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si aplica]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00" w:after="40"/>
      </w:pPr>
      <w:r>
        <w:t>Consideraciones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1. Competencia y capacidad de la entidad para celebrar el contrato. [DILIGENCIAR: desarrollar soporte particular]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2. Necesidad y conveniencia acreditadas en los estudios y documentos previos. [DILIGENCIAR: desarrollar soporte particular]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3. Existencia de disponibilidad presupuestal y cumplimiento de la modalidad de selección o causal de contratación directa. [DILIGENCIAR: desarrollar soporte particular]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4. Verificación de capacidad, inhabilidades, incompatibilidades, conflicto de intereses y documentos del contratista. [DILIGENCIAR: desarrollar soporte particular]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5. Publicación y trazabilidad del proceso en SECOP, cuando corresponda. [DILIGENCIAR: desarrollar soporte particular]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 w:val="0"/>
          <w:color w:val="162534"/>
          <w:sz w:val="18"/>
        </w:rPr>
        <w:t>6. Resultado de la Ficha de Aplicabilidad de Documentos Tipo. [DILIGENCIAR: desarrollar soporte particular]</w:t>
      </w:r>
    </w:p>
    <w:p>
      <w:pPr>
        <w:pStyle w:val="Heading1"/>
        <w:keepNext/>
        <w:spacing w:before="100" w:after="40"/>
      </w:pPr>
      <w:r>
        <w:t>PRIMERA. Objeto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Redactar el objeto contractual de manera clara, determinada y coherente con los estudios previos.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SEGUNDA. Alcance y documentos integrantes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Relacionar estudios previos, oferta, anexos técnicos, matrices, garantías, actas, modificaciones y documentos publicados en SECOP que integran el contrato.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TERCERA. Alcance especializado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estudios, diseños, diagnósticos, interventoría o productos intelectuales y normas técnicas aplicables.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CUARTA. Equipo de trabajo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personal clave, dedicación, experiencia, aprobación de cambios, soporte y disponibilidad.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QUINTA. Metodología, plan de trabajo y productos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Establecer fases, metodología, reuniones, entregables, revisiones, correcciones y aceptación.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SEXTA. Responsabilidad técnica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responsabilidad por conceptos, diseños, cálculos, informes y vigilancia, sin sustituir decisiones de la entidad.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SÉPTIMA. Obligaciones específicas de interventoría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Cuando aplique: seguimiento técnico y demás componentes contratados, informes, alertas, medición, calidad, riesgos, garantías, incumplimientos y liquidación.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TERCERA. Obligaciones generales del contratista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cumplimiento del objeto, calidad, oportunidad, información, seguridad social, SST, confidencialidad, cuidado de bienes, reportes, atención de requerimientos y obligaciones legales.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CUARTA. Obligaciones de la entidad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pago, suministro de información, designación de supervisor/interventor, acceso, coordinación y demás deberes.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QUINTA. Valor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Indicar valor en números y letras, impuestos, tasas, contribuciones, costos directos e indirectos y naturaleza de precios.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SEXTA. Forma de pago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pagos, hitos, soportes, amortizaciones, retenciones, factura/cuenta de cobro, seguridad social y certificación de recibo.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SÉPTIMA. Imputación presupuestal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Relacionar CDP, rubro, fuente, vigencia, RP y vigencias futuras cuando aplique.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OCTAVA. Plazo y lugar de ejecución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Diferenciar plazo de ejecución, vigencia, fecha de inicio y lugar.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NOVENA. Perfeccionamiento y requisitos de ejecución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Precisar firma, registro presupuestal, aprobación de garantías, afiliaciones y acta de inicio según corresponda.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DÉCIMA. Garantías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garantía, amparos, porcentajes, vigencias, restablecimiento, ampliación y aprobación, o justificar no exigencia.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PRIMERA. Supervisión o interventoría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dependencia, alcance del seguimiento técnico, administrativo, financiero, contable y jurídico, y canales de comunicación.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SEGUNDA. Independencia y ausencia de relación laboral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Indicar autonomía técnica y administrativa del contratista y ausencia de vínculo laboral, sin afectar el deber de coordinación.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TERCERA. Seguridad social y obligaciones laborales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Exigir afiliación y pago al sistema, obligaciones laborales y parafiscales, cuando corresponda.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CUARTA. Cesión y subcontratación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Regular autorización previa, requisitos, responsabilidad y límites.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QUINTA. Inhabilidades, incompatibilidades, conflicto de intereses y transparencia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declaración, deber de informar y medidas frente a corrupción o conflicto.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SEXTA. Confidencialidad, protección de datos y seguridad de la información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clasificación, acceso, tratamiento, incidentes, devolución/eliminación y vigencia de la obligación.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SÉPTIMA. Propiedad intelectual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titularidad, licencias, entregables editables, componentes preexistentes, código fuente y autorizaciones.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OCTAVA. Multas, cláusula penal y potestades excepcionales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Incluir únicamente cuando corresponda, con procedimiento, proporcionalidad y referencia normativa.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DÉCIMA NOVENA. Modificaciones, suspensión y reinicio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Establecer que deben constar por escrito, estar justificadas y cumplir requisitos técnicos, jurídicos y presupuestales.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VIGÉSIMA. Terminación y liquidación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eventos, plazo, obligaciones de cierre, recibo, balance y liquidación cuando proceda.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VIGÉSIMA PRIMERA. Solución de controversias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Definir arreglo directo y mecanismos legalmente procedentes, sin restringir competencias administrativas.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VIGÉSIMA SEGUNDA. Notificaciones, SECOP y domicilio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Identificar canales, direcciones, publicación y domicilio contractual.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VIGÉSIMA TERCERA. Integridad documental y expediente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Obligar a entregar soportes completos, legibles, accesibles y organizados según TRD, expediente electrónico y reglas de archivo.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redacción definitiva de la cláusula]</w:t>
      </w:r>
    </w:p>
    <w:p>
      <w:pPr>
        <w:pStyle w:val="Heading1"/>
        <w:keepNext/>
        <w:spacing w:before="100" w:after="40"/>
      </w:pPr>
      <w:r>
        <w:t>Firma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SUSCRIPCIÓN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Por el Municipio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Por el 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identificación,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3"/>
              </w:rPr>
              <w:t>230-15-06 / 230-52 -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Modelo de contrato de consultoría e interventoría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JC-FT-11-PROV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230-15-06 / 230-52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Modelo Contrato Consultoria Interventoria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