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c>
          <w:tcPr>
            <w:tcW w:type="dxa" w:w="10224"/>
            <w:tcBorders>
              <w:top w:val="single" w:sz="8" w:color="D6A84B"/>
              <w:left w:val="single" w:sz="8" w:color="D6A84B"/>
              <w:bottom w:val="single" w:sz="8" w:color="D6A84B"/>
              <w:right w:val="single" w:sz="8" w:color="D6A84B"/>
            </w:tcBorders>
            <w:shd w:fill="FFF4CE"/>
          </w:tcPr>
          <w:p>
            <w:pPr>
              <w:jc w:val="center"/>
            </w:pPr>
            <w:r>
              <w:rPr>
                <w:rFonts w:ascii="Century Gothic" w:hAnsi="Century Gothic" w:eastAsia="Century Gothic"/>
                <w:b/>
                <w:i w:val="0"/>
                <w:color w:val="7A5A00"/>
                <w:sz w:val="17"/>
              </w:rPr>
              <w:t>DOCUMENTO DE TRABAJO EN PROCESO DE APROBACIÓN</w:t>
            </w:r>
            <w:r>
              <w:rPr>
                <w:rFonts w:ascii="Century Gothic" w:hAnsi="Century Gothic" w:eastAsia="Century Gothic"/>
                <w:b w:val="0"/>
                <w:i w:val="0"/>
                <w:color w:val="7A5A00"/>
                <w:sz w:val="15"/>
              </w:rPr>
              <w:br/>
              <w:t>La TRD institucional y los códigos documentales se encuentran en actualización. Este formato se integra al Proyecto de Aplicativo Institucional de Calidad y Gestión Documental Automática.</w:t>
            </w:r>
          </w:p>
        </w:tc>
      </w:tr>
    </w:tbl>
    <w:p>
      <w:pPr>
        <w:pStyle w:val="Title"/>
        <w:spacing w:after="30"/>
        <w:jc w:val="center"/>
      </w:pPr>
      <w:r>
        <w:rPr>
          <w:rFonts w:ascii="Century Gothic" w:hAnsi="Century Gothic" w:eastAsia="Century Gothic"/>
          <w:b/>
          <w:i w:val="0"/>
          <w:color w:val="01256A"/>
          <w:sz w:val="30"/>
        </w:rPr>
        <w:t>Declaración institucional de publicación transitoria</w:t>
      </w:r>
    </w:p>
    <w:tbl>
      <w:tblPr>
        <w:tblW w:type="auto" w:w="0"/>
        <w:jc w:val="center"/>
        <w:tblLayout w:type="fixed"/>
        <w:tblLook w:firstColumn="1" w:firstRow="1" w:lastColumn="0" w:lastRow="0" w:noHBand="0" w:noVBand="1" w:val="04A0"/>
      </w:tblPr>
      <w:tblGrid>
        <w:gridCol w:w="10152"/>
      </w:tblGrid>
      <w:tr>
        <w:tc>
          <w:tcPr>
            <w:tcW w:type="dxa" w:w="10224"/>
            <w:tcBorders>
              <w:top w:val="single" w:sz="5" w:color="AAB8C5"/>
              <w:left w:val="single" w:sz="5" w:color="AAB8C5"/>
              <w:bottom w:val="single" w:sz="5" w:color="AAB8C5"/>
              <w:right w:val="single" w:sz="5" w:color="AAB8C5"/>
            </w:tcBorders>
            <w:shd w:fill="FFF4CE"/>
          </w:tcPr>
          <w:p>
            <w:pPr>
              <w:jc w:val="left"/>
            </w:pPr>
            <w:r>
              <w:rPr>
                <w:rFonts w:ascii="Century Gothic" w:hAnsi="Century Gothic" w:eastAsia="Century Gothic"/>
                <w:b/>
                <w:i w:val="0"/>
                <w:color w:val="7A5A00"/>
                <w:sz w:val="18"/>
              </w:rPr>
              <w:t>REGLA DE USO Y PREVALENCIA</w:t>
            </w:r>
          </w:p>
        </w:tc>
      </w:tr>
      <w:tr>
        <w:tc>
          <w:tcPr>
            <w:tcW w:type="dxa" w:w="10224"/>
            <w:tcBorders>
              <w:top w:val="single" w:sz="5" w:color="AAB8C5"/>
              <w:left w:val="single" w:sz="5" w:color="AAB8C5"/>
              <w:bottom w:val="single" w:sz="5" w:color="AAB8C5"/>
              <w:right w:val="single" w:sz="5" w:color="AAB8C5"/>
            </w:tcBorders>
          </w:tcPr>
          <w:p>
            <w:pPr>
              <w:jc w:val="both"/>
            </w:pPr>
            <w:r>
              <w:rPr>
                <w:rFonts w:ascii="Century Gothic" w:hAnsi="Century Gothic" w:eastAsia="Century Gothic"/>
                <w:b w:val="0"/>
                <w:i w:val="0"/>
                <w:color w:val="162534"/>
                <w:sz w:val="17"/>
              </w:rPr>
              <w:t>Este declaración es una herramienta transitoria de consulta y diligenciamiento. Debe ser revisado y aprobado por las áreas jurídica, contractual, financiera, técnica, de calidad y gestión documental antes de su adopción. Cuando el proceso esté sometido a Documentos Tipo obligatorios de la Agencia Nacional de Contratación Pública - Colombia Compra Eficiente, prevalece íntegramente la versión vigente publicada por dicha Agencia. El documento debe adaptarse al objeto, modalidad, cuantía, riesgos, garantías, acuerdos comerciales, presupuesto, SECOP y normativa especial aplicable.</w:t>
            </w:r>
          </w:p>
        </w:tc>
      </w:tr>
    </w:tbl>
    <w:p>
      <w:pPr>
        <w:spacing w:after="30"/>
      </w:pPr>
    </w:p>
    <w:p>
      <w:pPr>
        <w:pStyle w:val="Heading1"/>
        <w:keepNext/>
        <w:spacing w:after="30" w:before="80"/>
      </w:pPr>
      <w:r>
        <w:t>Declaración</w:t>
      </w:r>
    </w:p>
    <w:p>
      <w:pPr>
        <w:spacing w:after="30" w:line="259" w:lineRule="auto"/>
        <w:jc w:val="both"/>
      </w:pPr>
      <w:r>
        <w:rPr>
          <w:rFonts w:ascii="Century Gothic" w:hAnsi="Century Gothic" w:eastAsia="Century Gothic"/>
          <w:b w:val="0"/>
          <w:i w:val="0"/>
          <w:color w:val="162534"/>
          <w:sz w:val="18"/>
        </w:rPr>
        <w:t>La Alcaldía Municipal de San Pedro, Valle del Cauca, informa a la ciudadanía y a los interesados en los procesos de contratación que los formatos y modelos publicados en esta sección se encuentran en proceso de revisión y aprobación institucional. La publicación se realiza con fines de transparencia, consulta, estandarización y mejora continua, mientras culminan la actualización de las Tablas de Retención Documental, el control de códigos y versiones, y el diseño del Aplicativo Institucional de Calidad y Gestión Documental Automática.</w:t>
      </w:r>
    </w:p>
    <w:p>
      <w:pPr>
        <w:spacing w:after="30" w:line="259" w:lineRule="auto"/>
        <w:jc w:val="both"/>
      </w:pPr>
      <w:r>
        <w:rPr>
          <w:rFonts w:ascii="Century Gothic" w:hAnsi="Century Gothic" w:eastAsia="Century Gothic"/>
          <w:b w:val="0"/>
          <w:i w:val="0"/>
          <w:color w:val="162534"/>
          <w:sz w:val="18"/>
        </w:rPr>
        <w:t>Los modelos no constituyen pliegos definitivos ni condiciones particulares de un proceso en curso. Cada proceso contractual debe consultar sus documentos oficiales en SECOP. Cuando resulte obligatorio un Documento Tipo de Colombia Compra Eficiente, se aplicará la versión vigente expedida por esa Agencia, que prevalece sobre cualquier modelo interno.</w:t>
      </w:r>
    </w:p>
    <w:p>
      <w:pPr>
        <w:pStyle w:val="Heading1"/>
        <w:keepNext/>
        <w:spacing w:after="30" w:before="80"/>
      </w:pPr>
      <w:r>
        <w:t>Compromisos de actualización</w:t>
      </w:r>
    </w:p>
    <w:p>
      <w:pPr>
        <w:pStyle w:val="ListBullet"/>
        <w:spacing w:after="30"/>
      </w:pPr>
      <w:r>
        <w:rPr>
          <w:rFonts w:ascii="Century Gothic" w:hAnsi="Century Gothic" w:eastAsia="Century Gothic"/>
          <w:b w:val="0"/>
          <w:i w:val="0"/>
          <w:color w:val="162534"/>
          <w:sz w:val="17"/>
        </w:rPr>
        <w:t>Finalizar revisión jurídica, técnica, financiera, de calidad y archivística.</w:t>
      </w:r>
    </w:p>
    <w:p>
      <w:pPr>
        <w:pStyle w:val="ListBullet"/>
        <w:spacing w:after="30"/>
      </w:pPr>
      <w:r>
        <w:rPr>
          <w:rFonts w:ascii="Century Gothic" w:hAnsi="Century Gothic" w:eastAsia="Century Gothic"/>
          <w:b w:val="0"/>
          <w:i w:val="0"/>
          <w:color w:val="162534"/>
          <w:sz w:val="17"/>
        </w:rPr>
        <w:t>Aprobar los formatos mediante la instancia competente y actualizar código, versión y fecha de vigencia.</w:t>
      </w:r>
    </w:p>
    <w:p>
      <w:pPr>
        <w:pStyle w:val="ListBullet"/>
        <w:spacing w:after="30"/>
      </w:pPr>
      <w:r>
        <w:rPr>
          <w:rFonts w:ascii="Century Gothic" w:hAnsi="Century Gothic" w:eastAsia="Century Gothic"/>
          <w:b w:val="0"/>
          <w:i w:val="0"/>
          <w:color w:val="162534"/>
          <w:sz w:val="17"/>
        </w:rPr>
        <w:t>Actualizar la TRD y relacionar correctamente series, subseries y tipos documentales.</w:t>
      </w:r>
    </w:p>
    <w:p>
      <w:pPr>
        <w:pStyle w:val="ListBullet"/>
        <w:spacing w:after="30"/>
      </w:pPr>
      <w:r>
        <w:rPr>
          <w:rFonts w:ascii="Century Gothic" w:hAnsi="Century Gothic" w:eastAsia="Century Gothic"/>
          <w:b w:val="0"/>
          <w:i w:val="0"/>
          <w:color w:val="162534"/>
          <w:sz w:val="17"/>
        </w:rPr>
        <w:t>Parametrizar formatos, metadatos y flujos en el aplicativo institucional proyectado.</w:t>
      </w:r>
    </w:p>
    <w:p>
      <w:pPr>
        <w:pStyle w:val="ListBullet"/>
        <w:spacing w:after="30"/>
      </w:pPr>
      <w:r>
        <w:rPr>
          <w:rFonts w:ascii="Century Gothic" w:hAnsi="Century Gothic" w:eastAsia="Century Gothic"/>
          <w:b w:val="0"/>
          <w:i w:val="0"/>
          <w:color w:val="162534"/>
          <w:sz w:val="17"/>
        </w:rPr>
        <w:t>Revisar trimestralmente enlaces, Documentos Tipo, cambios normativos y estado de los formatos.</w:t>
      </w:r>
    </w:p>
    <w:p>
      <w:pPr>
        <w:pStyle w:val="ListBullet"/>
        <w:spacing w:after="30"/>
      </w:pPr>
      <w:r>
        <w:rPr>
          <w:rFonts w:ascii="Century Gothic" w:hAnsi="Century Gothic" w:eastAsia="Century Gothic"/>
          <w:b w:val="0"/>
          <w:i w:val="0"/>
          <w:color w:val="162534"/>
          <w:sz w:val="17"/>
        </w:rPr>
        <w:t>Sustituir inmediatamente los modelos transitorios cuando se aprueben las versiones oficiales.</w:t>
      </w:r>
    </w:p>
    <w:p>
      <w:pPr>
        <w:pStyle w:val="Heading1"/>
        <w:keepNext/>
        <w:spacing w:after="30" w:before="80"/>
      </w:pPr>
      <w:r>
        <w:t>Datos de publicación</w:t>
      </w:r>
    </w:p>
    <w:tbl>
      <w:tblPr>
        <w:tblW w:type="auto" w:w="0"/>
        <w:jc w:val="center"/>
        <w:tblLayout w:type="fixed"/>
        <w:tblLook w:firstColumn="1" w:firstRow="1" w:lastColumn="0" w:lastRow="0" w:noHBand="0" w:noVBand="1" w:val="04A0"/>
      </w:tblPr>
      <w:tblGrid>
        <w:gridCol w:w="5112"/>
        <w:gridCol w:w="5112"/>
      </w:tblGrid>
      <w:tr>
        <w:tc>
          <w:tcPr>
            <w:tcW w:type="dxa" w:w="10224"/>
            <w:gridSpan w:val="2"/>
            <w:tcBorders>
              <w:top w:val="single" w:sz="5" w:color="9CA3AF"/>
              <w:left w:val="single" w:sz="5" w:color="9CA3AF"/>
              <w:bottom w:val="single" w:sz="5" w:color="9CA3AF"/>
              <w:right w:val="single" w:sz="5" w:color="9CA3AF"/>
            </w:tcBorders>
            <w:shd w:fill="01256A"/>
          </w:tcPr>
          <w:p>
            <w:pPr>
              <w:jc w:val="center"/>
            </w:pPr>
            <w:r>
              <w:rPr>
                <w:rFonts w:ascii="Century Gothic" w:hAnsi="Century Gothic" w:eastAsia="Century Gothic"/>
                <w:b/>
                <w:i w:val="0"/>
                <w:color w:val="FFFFFF"/>
                <w:sz w:val="18"/>
              </w:rPr>
              <w:t>METADATOS</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Fecha de publicación</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dd/mm/aaaa]</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Dependencia responsable</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dependencia]</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Ruta en la sede electrónica</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URL]</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Número de formatos publicados</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cantidad]</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Última revisión</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dd/mm/aaaa]</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Próxima revisión</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dd/mm/aaaa]</w:t>
            </w:r>
          </w:p>
        </w:tc>
      </w:tr>
      <w:tr>
        <w:tc>
          <w:tcPr>
            <w:tcW w:type="dxa" w:w="3168"/>
            <w:tcBorders>
              <w:top w:val="single" w:sz="5" w:color="9CA3AF"/>
              <w:left w:val="single" w:sz="5" w:color="9CA3AF"/>
              <w:bottom w:val="single" w:sz="5" w:color="9CA3AF"/>
              <w:right w:val="single" w:sz="5" w:color="9CA3AF"/>
            </w:tcBorders>
            <w:shd w:fill="EAF2F8"/>
            <w:vAlign w:val="center"/>
          </w:tcPr>
          <w:p>
            <w:pPr>
              <w:jc w:val="left"/>
            </w:pPr>
            <w:r>
              <w:rPr>
                <w:rFonts w:ascii="Century Gothic" w:hAnsi="Century Gothic" w:eastAsia="Century Gothic"/>
                <w:b/>
                <w:i w:val="0"/>
                <w:color w:val="01256A"/>
                <w:sz w:val="16"/>
              </w:rPr>
              <w:t>Contacto</w:t>
            </w:r>
          </w:p>
        </w:tc>
        <w:tc>
          <w:tcPr>
            <w:tcW w:type="dxa" w:w="6983"/>
            <w:tcBorders>
              <w:top w:val="single" w:sz="5" w:color="9CA3AF"/>
              <w:left w:val="single" w:sz="5" w:color="9CA3AF"/>
              <w:bottom w:val="single" w:sz="5" w:color="9CA3AF"/>
              <w:right w:val="single" w:sz="5" w:color="9CA3AF"/>
            </w:tcBorders>
            <w:vAlign w:val="center"/>
          </w:tcPr>
          <w:p>
            <w:pPr>
              <w:jc w:val="left"/>
            </w:pPr>
            <w:r>
              <w:rPr>
                <w:rFonts w:ascii="Century Gothic" w:hAnsi="Century Gothic" w:eastAsia="Century Gothic"/>
                <w:b w:val="0"/>
                <w:i/>
                <w:color w:val="7A5A00"/>
                <w:sz w:val="16"/>
                <w:shd w:fill="FFF4CE"/>
              </w:rPr>
              <w:t>[DILIGENCIAR: correo institucional]</w:t>
            </w:r>
          </w:p>
        </w:tc>
      </w:tr>
    </w:tbl>
    <w:p>
      <w:pPr>
        <w:spacing w:after="30"/>
      </w:pPr>
    </w:p>
    <w:p>
      <w:pPr>
        <w:spacing w:before="0" w:after="0"/>
      </w:pPr>
      <w:r>
        <w:br w:type="page"/>
      </w:r>
    </w:p>
    <w:tbl>
      <w:tblPr>
        <w:tblW w:type="auto" w:w="0"/>
        <w:jc w:val="center"/>
        <w:tblLayout w:type="fixed"/>
        <w:tblLook w:firstColumn="1" w:firstRow="1" w:lastColumn="0" w:lastRow="0" w:noHBand="0" w:noVBand="1" w:val="04A0"/>
      </w:tblPr>
      <w:tblGrid>
        <w:gridCol w:w="5112"/>
        <w:gridCol w:w="5112"/>
      </w:tblGrid>
      <w:tr>
        <w:tc>
          <w:tcPr>
            <w:tcW w:type="dxa" w:w="10224"/>
            <w:gridSpan w:val="2"/>
            <w:tcBorders>
              <w:top w:val="single" w:sz="5" w:color="9CA3AF"/>
              <w:left w:val="single" w:sz="5" w:color="9CA3AF"/>
              <w:bottom w:val="single" w:sz="5" w:color="9CA3AF"/>
              <w:right w:val="single" w:sz="5" w:color="9CA3AF"/>
            </w:tcBorders>
            <w:shd w:fill="01256A"/>
            <w:tcMar>
              <w:top w:w="15" w:type="dxa"/>
              <w:start w:w="25" w:type="dxa"/>
              <w:bottom w:w="15" w:type="dxa"/>
              <w:end w:w="25" w:type="dxa"/>
            </w:tcMar>
          </w:tcPr>
          <w:p>
            <w:pPr>
              <w:spacing w:before="0" w:after="0" w:line="216" w:lineRule="auto"/>
              <w:jc w:val="center"/>
            </w:pPr>
            <w:r>
              <w:rPr>
                <w:rFonts w:ascii="Century Gothic" w:hAnsi="Century Gothic" w:eastAsia="Century Gothic"/>
                <w:b/>
                <w:i w:val="0"/>
                <w:color w:val="FFFFFF"/>
                <w:sz w:val="14"/>
              </w:rPr>
              <w:t>CONTROL DE ELABORACIÓN, REVISIÓN Y APROBACIÓN</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Dependencia solicitante</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dependencia responsable]</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Responsable de elaboración</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y firma]</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Revisión jurídica</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fecha y concepto]</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Revisión financiera</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fecha y concepto]</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Revisión de gestión documental</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nombre, cargo, fecha y concepto]</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Aprobación</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instancia, acto administrativo o acta, fecha]</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Código TRD de referencia</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val="0"/>
                <w:color w:val="7A5A00"/>
                <w:sz w:val="13"/>
              </w:rPr>
              <w:t>230-15 / 230-18 / 230-22 - TRD 2013; pendiente actualización, aprobación y convalidación</w:t>
            </w:r>
          </w:p>
        </w:tc>
      </w:tr>
      <w:tr>
        <w:tc>
          <w:tcPr>
            <w:tcW w:type="dxa" w:w="3168"/>
            <w:tcBorders>
              <w:top w:val="single" w:sz="5" w:color="9CA3AF"/>
              <w:left w:val="single" w:sz="5" w:color="9CA3AF"/>
              <w:bottom w:val="single" w:sz="5" w:color="9CA3AF"/>
              <w:right w:val="single" w:sz="5" w:color="9CA3AF"/>
            </w:tcBorders>
            <w:shd w:fill="EAF2F8"/>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i w:val="0"/>
                <w:color w:val="01256A"/>
                <w:sz w:val="13"/>
              </w:rPr>
              <w:t>Estado en el aplicativo</w:t>
            </w:r>
          </w:p>
        </w:tc>
        <w:tc>
          <w:tcPr>
            <w:tcW w:type="dxa" w:w="6983"/>
            <w:tcBorders>
              <w:top w:val="single" w:sz="5" w:color="9CA3AF"/>
              <w:left w:val="single" w:sz="5" w:color="9CA3AF"/>
              <w:bottom w:val="single" w:sz="5" w:color="9CA3AF"/>
              <w:right w:val="single" w:sz="5" w:color="9CA3AF"/>
            </w:tcBorders>
            <w:vAlign w:val="center"/>
            <w:tcMar>
              <w:top w:w="15" w:type="dxa"/>
              <w:start w:w="25" w:type="dxa"/>
              <w:bottom w:w="15" w:type="dxa"/>
              <w:end w:w="25" w:type="dxa"/>
            </w:tcMar>
          </w:tcPr>
          <w:p>
            <w:pPr>
              <w:spacing w:before="0" w:after="0" w:line="216" w:lineRule="auto"/>
              <w:jc w:val="left"/>
            </w:pPr>
            <w:r>
              <w:rPr>
                <w:rFonts w:ascii="Century Gothic" w:hAnsi="Century Gothic" w:eastAsia="Century Gothic"/>
                <w:b w:val="0"/>
                <w:i/>
                <w:color w:val="7A5A00"/>
                <w:sz w:val="13"/>
                <w:shd w:fill="FFF4CE"/>
              </w:rPr>
              <w:t>[DILIGENCIAR: Borrador / En revisión / Aprobado / Obsoleto]</w:t>
            </w:r>
          </w:p>
        </w:tc>
      </w:tr>
    </w:tbl>
    <w:p>
      <w:pPr>
        <w:spacing w:after="30"/>
      </w:pPr>
    </w:p>
    <w:sectPr>
      <w:headerReference w:type="default" r:id="rId9"/>
      <w:footerReference w:type="default" r:id="rId10"/>
      <w:pgSz w:w="12240" w:h="15840"/>
      <w:pgMar w:top="792" w:right="1008" w:bottom="792" w:left="1008"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b w:val="0"/>
        <w:i w:val="0"/>
        <w:color w:val="6B7280"/>
        <w:sz w:val="14"/>
      </w:rPr>
      <w:t>Centro Administrativo Municipal - CAM | Calle 5 No. 3-85 | Código Postal 763030</w:t>
      <w:br/>
    </w:r>
    <w:r>
      <w:rPr>
        <w:rFonts w:ascii="Century Gothic" w:hAnsi="Century Gothic" w:eastAsia="Century Gothic"/>
        <w:b w:val="0"/>
        <w:i/>
        <w:color w:val="6B7280"/>
        <w:sz w:val="14"/>
      </w:rPr>
      <w:t>www.sanpedro-valle.gov.co | Documento transitorio publicado para transparencia; aprobación institucional 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408"/>
      <w:gridCol w:w="3408"/>
      <w:gridCol w:w="3408"/>
    </w:tblGrid>
    <w:tr>
      <w:tc>
        <w:tcPr>
          <w:tcW w:type="dxa" w:w="1368"/>
          <w:tcBorders>
            <w:top w:val="single" w:sz="5" w:color="7D8B99"/>
            <w:left w:val="single" w:sz="5" w:color="7D8B99"/>
            <w:bottom w:val="single" w:sz="5" w:color="7D8B99"/>
            <w:right w:val="single" w:sz="5" w:color="7D8B99"/>
          </w:tcBorders>
          <w:vAlign w:val="center"/>
        </w:tcPr>
        <w:p>
          <w:pPr>
            <w:jc w:val="center"/>
          </w:pPr>
          <w:r>
            <w:drawing>
              <wp:inline xmlns:a="http://schemas.openxmlformats.org/drawingml/2006/main" xmlns:pic="http://schemas.openxmlformats.org/drawingml/2006/picture">
                <wp:extent cx="621792" cy="647107"/>
                <wp:docPr id="1" name="Picture 1"/>
                <wp:cNvGraphicFramePr>
                  <a:graphicFrameLocks noChangeAspect="1"/>
                </wp:cNvGraphicFramePr>
                <a:graphic>
                  <a:graphicData uri="http://schemas.openxmlformats.org/drawingml/2006/picture">
                    <pic:pic>
                      <pic:nvPicPr>
                        <pic:cNvPr id="0" name="Escudo_San_Pedro.jpeg"/>
                        <pic:cNvPicPr/>
                      </pic:nvPicPr>
                      <pic:blipFill>
                        <a:blip r:embed="rId1"/>
                        <a:stretch>
                          <a:fillRect/>
                        </a:stretch>
                      </pic:blipFill>
                      <pic:spPr>
                        <a:xfrm>
                          <a:off x="0" y="0"/>
                          <a:ext cx="621792" cy="647107"/>
                        </a:xfrm>
                        <a:prstGeom prst="rect"/>
                      </pic:spPr>
                    </pic:pic>
                  </a:graphicData>
                </a:graphic>
              </wp:inline>
            </w:drawing>
          </w:r>
        </w:p>
      </w:tc>
      <w:tc>
        <w:tcPr>
          <w:tcW w:type="dxa" w:w="5688"/>
          <w:tcBorders>
            <w:top w:val="single" w:sz="5" w:color="7D8B99"/>
            <w:left w:val="single" w:sz="5" w:color="7D8B99"/>
            <w:bottom w:val="single" w:sz="5" w:color="7D8B99"/>
            <w:right w:val="single" w:sz="5" w:color="7D8B99"/>
          </w:tcBorders>
          <w:vAlign w:val="center"/>
        </w:tcPr>
        <w:p>
          <w:pPr>
            <w:jc w:val="center"/>
          </w:pPr>
          <w:r>
            <w:rPr>
              <w:rFonts w:ascii="Century Gothic" w:hAnsi="Century Gothic" w:eastAsia="Century Gothic"/>
              <w:b/>
              <w:i w:val="0"/>
              <w:color w:val="01256A"/>
              <w:sz w:val="19"/>
            </w:rPr>
            <w:t>ALCALDÍA MUNICIPAL DE SAN PEDRO, VALLE DEL CAUCA</w:t>
            <w:br/>
          </w:r>
          <w:r>
            <w:rPr>
              <w:rFonts w:ascii="Century Gothic" w:hAnsi="Century Gothic" w:eastAsia="Century Gothic"/>
              <w:b/>
              <w:i w:val="0"/>
              <w:color w:val="162534"/>
              <w:sz w:val="16"/>
            </w:rPr>
            <w:t>NIT. 800.100.526-3</w:t>
            <w:br/>
          </w:r>
          <w:r>
            <w:rPr>
              <w:rFonts w:ascii="Century Gothic" w:hAnsi="Century Gothic" w:eastAsia="Century Gothic"/>
              <w:b/>
              <w:i w:val="0"/>
              <w:color w:val="162534"/>
              <w:sz w:val="15"/>
            </w:rPr>
            <w:t>PROCESO: Gestión Jurídica y Contractual</w:t>
            <w:br/>
          </w:r>
          <w:r>
            <w:rPr>
              <w:rFonts w:ascii="Century Gothic" w:hAnsi="Century Gothic" w:eastAsia="Century Gothic"/>
              <w:b/>
              <w:i w:val="0"/>
              <w:color w:val="174F83"/>
              <w:sz w:val="16"/>
            </w:rPr>
            <w:t>Declaración institucional de publicación transitoria</w:t>
          </w:r>
        </w:p>
      </w:tc>
      <w:tc>
        <w:tcPr>
          <w:tcW w:type="dxa" w:w="3168"/>
          <w:tcBorders>
            <w:top w:val="single" w:sz="5" w:color="7D8B99"/>
            <w:left w:val="single" w:sz="5" w:color="7D8B99"/>
            <w:bottom w:val="single" w:sz="5" w:color="7D8B99"/>
            <w:right w:val="single" w:sz="5" w:color="7D8B99"/>
          </w:tcBorders>
          <w:vAlign w:val="center"/>
        </w:tcPr>
        <w:p>
          <w:r>
            <w:rPr>
              <w:rFonts w:ascii="Century Gothic" w:hAnsi="Century Gothic" w:eastAsia="Century Gothic"/>
              <w:b/>
              <w:i w:val="0"/>
              <w:color w:val="162534"/>
              <w:sz w:val="14"/>
            </w:rPr>
            <w:t xml:space="preserve">Código: </w:t>
          </w:r>
          <w:r>
            <w:rPr>
              <w:rFonts w:ascii="Century Gothic" w:hAnsi="Century Gothic" w:eastAsia="Century Gothic"/>
              <w:b w:val="0"/>
              <w:i w:val="0"/>
              <w:color w:val="162534"/>
              <w:sz w:val="14"/>
            </w:rPr>
            <w:t>JC-FT-22-PROV</w:t>
            <w:br/>
          </w:r>
          <w:r>
            <w:rPr>
              <w:rFonts w:ascii="Century Gothic" w:hAnsi="Century Gothic" w:eastAsia="Century Gothic"/>
              <w:b/>
              <w:i w:val="0"/>
              <w:color w:val="162534"/>
              <w:sz w:val="14"/>
            </w:rPr>
            <w:t xml:space="preserve">Versión: </w:t>
          </w:r>
          <w:r>
            <w:rPr>
              <w:rFonts w:ascii="Century Gothic" w:hAnsi="Century Gothic" w:eastAsia="Century Gothic"/>
              <w:b w:val="0"/>
              <w:i w:val="0"/>
              <w:color w:val="162534"/>
              <w:sz w:val="14"/>
            </w:rPr>
            <w:t>0.1</w:t>
            <w:br/>
          </w:r>
          <w:r>
            <w:rPr>
              <w:rFonts w:ascii="Century Gothic" w:hAnsi="Century Gothic" w:eastAsia="Century Gothic"/>
              <w:b/>
              <w:i w:val="0"/>
              <w:color w:val="162534"/>
              <w:sz w:val="14"/>
            </w:rPr>
            <w:t xml:space="preserve">Emisión: </w:t>
          </w:r>
          <w:r>
            <w:rPr>
              <w:rFonts w:ascii="Century Gothic" w:hAnsi="Century Gothic" w:eastAsia="Century Gothic"/>
              <w:b w:val="0"/>
              <w:i w:val="0"/>
              <w:color w:val="162534"/>
              <w:sz w:val="14"/>
            </w:rPr>
            <w:t>31/07/2026</w:t>
            <w:br/>
          </w:r>
          <w:r>
            <w:rPr>
              <w:rFonts w:ascii="Century Gothic" w:hAnsi="Century Gothic" w:eastAsia="Century Gothic"/>
              <w:b/>
              <w:i w:val="0"/>
              <w:color w:val="162534"/>
              <w:sz w:val="14"/>
            </w:rPr>
            <w:t xml:space="preserve">TRD ref.: </w:t>
          </w:r>
          <w:r>
            <w:rPr>
              <w:rFonts w:ascii="Century Gothic" w:hAnsi="Century Gothic" w:eastAsia="Century Gothic"/>
              <w:b w:val="0"/>
              <w:i w:val="0"/>
              <w:color w:val="162534"/>
              <w:sz w:val="14"/>
            </w:rPr>
            <w:t>230-15 / 230-18 / 230-22</w:t>
            <w:br/>
          </w:r>
          <w:r>
            <w:rPr>
              <w:rFonts w:ascii="Century Gothic" w:hAnsi="Century Gothic" w:eastAsia="Century Gothic"/>
              <w:b/>
              <w:i w:val="0"/>
              <w:color w:val="162534"/>
              <w:sz w:val="14"/>
            </w:rPr>
            <w:t xml:space="preserve">Página: </w:t>
          </w:r>
          <w:r>
            <w:rPr>
              <w:rFonts w:ascii="Century Gothic" w:hAnsi="Century Gothic" w:eastAsia="Century Gothic"/>
              <w:b w:val="0"/>
              <w:i w:val="0"/>
              <w:color w:val="6B7280"/>
              <w:sz w:val="16"/>
            </w:rPr>
            <w:fldChar w:fldCharType="begin"/>
            <w:instrText xml:space="preserve">PAGE</w:instrText>
            <w:fldChar w:fldCharType="end"/>
          </w:r>
          <w:r>
            <w:rPr>
              <w:rFonts w:ascii="Century Gothic" w:hAnsi="Century Gothic" w:eastAsia="Century Gothic"/>
              <w:b w:val="0"/>
              <w:i w:val="0"/>
              <w:color w:val="162534"/>
              <w:sz w:val="14"/>
            </w:rPr>
            <w:t xml:space="preserve"> de </w:t>
          </w:r>
          <w:r>
            <w:rPr>
              <w:rFonts w:ascii="Century Gothic" w:hAnsi="Century Gothic" w:eastAsia="Century Gothic"/>
              <w:b w:val="0"/>
              <w:i w:val="0"/>
              <w:color w:val="6B7280"/>
              <w:sz w:val="16"/>
            </w:rPr>
            <w:fldChar w:fldCharType="begin"/>
            <w:instrText xml:space="preserve">NUMPAGES</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entury Gothic" w:hAnsi="Century Gothic" w:eastAsia="Century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entury Gothic" w:hAnsi="Century Gothic" w:eastAsia="Century Gothic"/>
      <w:b/>
      <w:bCs/>
      <w:color w:val="01256A"/>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entury Gothic" w:hAnsi="Century Gothic" w:eastAsia="Century Gothic"/>
      <w:b/>
      <w:bCs/>
      <w:color w:val="174F83"/>
      <w:sz w:val="21"/>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entury Gothic" w:hAnsi="Century Gothic" w:eastAsia="Century Gothic"/>
      <w:b/>
      <w:bCs/>
      <w:color w:val="16253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80"/>
      <w:contextualSpacing/>
    </w:pPr>
    <w:rPr>
      <w:rFonts w:asciiTheme="majorHAnsi" w:eastAsiaTheme="majorEastAsia" w:hAnsiTheme="majorHAnsi" w:cstheme="majorBidi" w:ascii="Century Gothic" w:hAnsi="Century Gothic" w:eastAsia="Century Gothic"/>
      <w:b/>
      <w:color w:val="01256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entury Gothic" w:hAnsi="Century Gothic" w:eastAsia="Century Gothic"/>
      <w:sz w:val="17"/>
    </w:rPr>
  </w:style>
  <w:style w:type="paragraph" w:styleId="ListBullet2">
    <w:name w:val="List Bullet 2"/>
    <w:basedOn w:val="Normal"/>
    <w:uiPriority w:val="99"/>
    <w:unhideWhenUsed/>
    <w:rsid w:val="00326F90"/>
    <w:pPr>
      <w:numPr>
        <w:numId w:val="2"/>
      </w:numPr>
      <w:contextualSpacing/>
    </w:pPr>
    <w:rPr>
      <w:rFonts w:ascii="Century Gothic" w:hAnsi="Century Gothic" w:eastAsia="Century Gothic"/>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entury Gothic" w:hAnsi="Century Gothic" w:eastAsia="Century Gothic"/>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Declaracion Publicacion Transitoria</dc:title>
  <dc:subject>Paquete transitorio ITA 3.5 - Formatos o modelos de contratos y pliegos tipo</dc:subject>
  <dc:creator/>
  <cp:keywords>ITA, contratación, formatos, modelos de contrato, pliegos, gestión documental</cp:keywords>
  <dc:description>Documento de trabajo en proceso de aprobación. TRD y códigos documentales pendientes de actualización.</dc:description>
  <cp:lastModifiedBy/>
  <cp:revision>1</cp:revision>
  <dcterms:created xsi:type="dcterms:W3CDTF">2013-12-23T23:15:00Z</dcterms:created>
  <dcterms:modified xsi:type="dcterms:W3CDTF">2013-12-23T23:15:00Z</dcterms:modified>
  <cp:category/>
</cp:coreProperties>
</file>