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alibri" w:cs="Calibri" w:eastAsia="Calibri" w:hAnsi="Calibri"/>
          <w:b/>
          <w:bCs/>
          <w:color w:val="1A1A1A"/>
          <w:spacing w:val="30"/>
          <w:sz w:val="40"/>
          <w:szCs w:val="40"/>
        </w:rPr>
        <w:t xml:space="preserve">JEREMIA SUNNY</w:t>
      </w:r>
    </w:p>
    <w:p>
      <w:pPr>
        <w:spacing w:after="60"/>
        <w:jc w:val="center"/>
      </w:pPr>
      <w:r>
        <w:rPr>
          <w:rFonts w:ascii="Calibri" w:cs="Calibri" w:eastAsia="Calibri" w:hAnsi="Calibri"/>
          <w:color w:val="555555"/>
          <w:spacing w:val="12"/>
          <w:sz w:val="20"/>
          <w:szCs w:val="20"/>
        </w:rPr>
        <w:t xml:space="preserve">Full Stack Engineer  ·  React  ·  Next.js  ·  TypeScript  ·  Node.js  ·  NestJS  ·  PostgreSQL</w:t>
      </w:r>
    </w:p>
    <w:p>
      <w:pPr>
        <w:spacing w:after="40"/>
        <w:jc w:val="center"/>
      </w:pPr>
      <w:r>
        <w:rPr>
          <w:rFonts w:ascii="Calibri" w:cs="Calibri" w:eastAsia="Calibri" w:hAnsi="Calibri"/>
          <w:color w:val="555555"/>
          <w:sz w:val="19"/>
          <w:szCs w:val="19"/>
        </w:rPr>
        <w:t xml:space="preserve">Bengaluru, India</w:t>
      </w:r>
      <w:r>
        <w:rPr>
          <w:rFonts w:ascii="Calibri" w:cs="Calibri" w:eastAsia="Calibri" w:hAnsi="Calibri"/>
          <w:color w:val="555555"/>
          <w:sz w:val="19"/>
          <w:szCs w:val="19"/>
        </w:rPr>
        <w:t xml:space="preserve">  ·  </w:t>
      </w:r>
      <w:r>
        <w:rPr>
          <w:rFonts w:ascii="Calibri" w:cs="Calibri" w:eastAsia="Calibri" w:hAnsi="Calibri"/>
          <w:color w:val="555555"/>
          <w:sz w:val="19"/>
          <w:szCs w:val="19"/>
        </w:rPr>
        <w:t xml:space="preserve">+91 70123 38472</w:t>
      </w:r>
      <w:r>
        <w:rPr>
          <w:rFonts w:ascii="Calibri" w:cs="Calibri" w:eastAsia="Calibri" w:hAnsi="Calibri"/>
          <w:color w:val="555555"/>
          <w:sz w:val="19"/>
          <w:szCs w:val="19"/>
        </w:rPr>
        <w:t xml:space="preserve">  ·  </w:t>
      </w:r>
      <w:hyperlink w:history="1" r:id="rIdrhsk_2ppnq2qnacao3hzx">
        <w:r>
          <w:rPr>
            <w:rFonts w:ascii="Calibri" w:cs="Calibri" w:eastAsia="Calibri" w:hAnsi="Calibri"/>
            <w:color w:val="2B5C8A"/>
            <w:sz w:val="19"/>
            <w:szCs w:val="19"/>
            <w:u w:val="single"/>
          </w:rPr>
          <w:t xml:space="preserve">jeremiasunnylap@gmail.com</w:t>
        </w:r>
      </w:hyperlink>
    </w:p>
    <w:p>
      <w:pPr>
        <w:spacing w:after="160"/>
        <w:jc w:val="center"/>
      </w:pPr>
      <w:hyperlink w:history="1" r:id="rIdgqgbhu9g67dgc1gi-0zwn">
        <w:r>
          <w:rPr>
            <w:rFonts w:ascii="Calibri" w:cs="Calibri" w:eastAsia="Calibri" w:hAnsi="Calibri"/>
            <w:color w:val="2B5C8A"/>
            <w:sz w:val="19"/>
            <w:szCs w:val="19"/>
            <w:u w:val="single"/>
          </w:rPr>
          <w:t xml:space="preserve">linkedin.com/in/jeremia-sunny</w:t>
        </w:r>
      </w:hyperlink>
      <w:r>
        <w:rPr>
          <w:rFonts w:ascii="Calibri" w:cs="Calibri" w:eastAsia="Calibri" w:hAnsi="Calibri"/>
          <w:color w:val="555555"/>
          <w:sz w:val="19"/>
          <w:szCs w:val="19"/>
        </w:rPr>
        <w:t xml:space="preserve">  ·  </w:t>
      </w:r>
      <w:hyperlink w:history="1" r:id="rId9vv7pk0dcgzkie51v6wys">
        <w:r>
          <w:rPr>
            <w:rFonts w:ascii="Calibri" w:cs="Calibri" w:eastAsia="Calibri" w:hAnsi="Calibri"/>
            <w:color w:val="2B5C8A"/>
            <w:sz w:val="19"/>
            <w:szCs w:val="19"/>
            <w:u w:val="single"/>
          </w:rPr>
          <w:t xml:space="preserve">github.com/JEREMIA-SUNNY</w:t>
        </w:r>
      </w:hyperlink>
    </w:p>
    <w:p>
      <w:pPr>
        <w:pStyle w:val="Heading1"/>
        <w:pBdr>
          <w:bottom w:val="single" w:color="8C8C8C" w:sz="6" w:space="2"/>
        </w:pBdr>
        <w:spacing w:after="11" w:before="108"/>
      </w:pPr>
      <w:r>
        <w:rPr>
          <w:rFonts w:ascii="Calibri" w:cs="Calibri" w:eastAsia="Calibri" w:hAnsi="Calibri"/>
          <w:b/>
          <w:bCs/>
          <w:color w:val="1A1A1A"/>
          <w:spacing w:val="40"/>
          <w:sz w:val="21"/>
          <w:szCs w:val="21"/>
        </w:rPr>
        <w:t xml:space="preserve">PROFESSIONAL PROFILE</w:t>
      </w:r>
    </w:p>
    <w:p>
      <w:pPr>
        <w:spacing w:after="40" w:line="232"/>
      </w:pPr>
      <w:r>
        <w:rPr>
          <w:rFonts w:ascii="Calibri" w:cs="Calibri" w:eastAsia="Calibri" w:hAnsi="Calibri"/>
          <w:color w:val="1A1A1A"/>
          <w:sz w:val="20"/>
          <w:szCs w:val="20"/>
        </w:rPr>
        <w:t xml:space="preserve">Full Stack Engineer with 4+ years building and scaling multi-tenant B2B SaaS platforms end to end in React, Next.js, TypeScript, Node.js, NestJS and PostgreSQL — from schema design through REST and tRPC API architecture to production frontend interfaces and cloud deployment. Principal contributor to NKE Wire Assembly ERP, a manufacturing ERP covering engineering, pricing, work orders and administration, and to Nirnai, a legal due-diligence platform for banks and NBFCs spanning five services. Depth in RBAC and tenant isolation, background job systems, document-generation pipelines, AI document workflows combining OCR with LLMs, and auditability in regulated domains.</w:t>
      </w:r>
    </w:p>
    <w:p>
      <w:pPr>
        <w:pStyle w:val="Heading1"/>
        <w:pBdr>
          <w:bottom w:val="single" w:color="8C8C8C" w:sz="6" w:space="2"/>
        </w:pBdr>
        <w:spacing w:after="11" w:before="108"/>
      </w:pPr>
      <w:r>
        <w:rPr>
          <w:rFonts w:ascii="Calibri" w:cs="Calibri" w:eastAsia="Calibri" w:hAnsi="Calibri"/>
          <w:b/>
          <w:bCs/>
          <w:color w:val="1A1A1A"/>
          <w:spacing w:val="40"/>
          <w:sz w:val="21"/>
          <w:szCs w:val="21"/>
        </w:rPr>
        <w:t xml:space="preserve">TECHNICAL SKILLS</w:t>
      </w:r>
    </w:p>
    <w:p>
      <w:pPr>
        <w:tabs>
          <w:tab w:val="left" w:pos="1500"/>
        </w:tabs>
        <w:spacing w:after="20" w:line="224"/>
        <w:ind w:left="1500" w:hanging="1500"/>
      </w:pPr>
      <w:r>
        <w:rPr>
          <w:rFonts w:ascii="Calibri" w:cs="Calibri" w:eastAsia="Calibri" w:hAnsi="Calibri"/>
          <w:b/>
          <w:bCs/>
          <w:color w:val="1A1A1A"/>
          <w:sz w:val="20"/>
          <w:szCs w:val="20"/>
        </w:rPr>
        <w:t xml:space="preserve">Languages</w:t>
      </w:r>
      <w:r>
        <w:rPr>
          <w:rFonts w:ascii="Calibri" w:cs="Calibri" w:eastAsia="Calibri" w:hAnsi="Calibri"/>
          <w:sz w:val="20"/>
          <w:szCs w:val="20"/>
        </w:rPr>
        <w:t xml:space="preserve">	</w:t>
      </w:r>
      <w:r>
        <w:rPr>
          <w:rFonts w:ascii="Calibri" w:cs="Calibri" w:eastAsia="Calibri" w:hAnsi="Calibri"/>
          <w:color w:val="1A1A1A"/>
          <w:sz w:val="20"/>
          <w:szCs w:val="20"/>
        </w:rPr>
        <w:t xml:space="preserve">TypeScript, JavaScript (ES6+), SQL, Python, HTML5, CSS3</w:t>
      </w:r>
    </w:p>
    <w:p>
      <w:pPr>
        <w:tabs>
          <w:tab w:val="left" w:pos="1500"/>
        </w:tabs>
        <w:spacing w:after="20" w:line="224"/>
        <w:ind w:left="1500" w:hanging="1500"/>
      </w:pPr>
      <w:r>
        <w:rPr>
          <w:rFonts w:ascii="Calibri" w:cs="Calibri" w:eastAsia="Calibri" w:hAnsi="Calibri"/>
          <w:b/>
          <w:bCs/>
          <w:color w:val="1A1A1A"/>
          <w:sz w:val="20"/>
          <w:szCs w:val="20"/>
        </w:rPr>
        <w:t xml:space="preserve">Frontend</w:t>
      </w:r>
      <w:r>
        <w:rPr>
          <w:rFonts w:ascii="Calibri" w:cs="Calibri" w:eastAsia="Calibri" w:hAnsi="Calibri"/>
          <w:sz w:val="20"/>
          <w:szCs w:val="20"/>
        </w:rPr>
        <w:t xml:space="preserve">	</w:t>
      </w:r>
      <w:r>
        <w:rPr>
          <w:rFonts w:ascii="Calibri" w:cs="Calibri" w:eastAsia="Calibri" w:hAnsi="Calibri"/>
          <w:color w:val="1A1A1A"/>
          <w:sz w:val="20"/>
          <w:szCs w:val="20"/>
        </w:rPr>
        <w:t xml:space="preserve">React, Next.js 14 (App Router, SSR / RSC), tRPC, Tailwind CSS, React Query, React Hook Form, Zod, Highcharts, Recharts</w:t>
      </w:r>
    </w:p>
    <w:p>
      <w:pPr>
        <w:tabs>
          <w:tab w:val="left" w:pos="1500"/>
        </w:tabs>
        <w:spacing w:after="20" w:line="224"/>
        <w:ind w:left="1500" w:hanging="1500"/>
      </w:pPr>
      <w:r>
        <w:rPr>
          <w:rFonts w:ascii="Calibri" w:cs="Calibri" w:eastAsia="Calibri" w:hAnsi="Calibri"/>
          <w:b/>
          <w:bCs/>
          <w:color w:val="1A1A1A"/>
          <w:sz w:val="20"/>
          <w:szCs w:val="20"/>
        </w:rPr>
        <w:t xml:space="preserve">Backend</w:t>
      </w:r>
      <w:r>
        <w:rPr>
          <w:rFonts w:ascii="Calibri" w:cs="Calibri" w:eastAsia="Calibri" w:hAnsi="Calibri"/>
          <w:sz w:val="20"/>
          <w:szCs w:val="20"/>
        </w:rPr>
        <w:t xml:space="preserve">	</w:t>
      </w:r>
      <w:r>
        <w:rPr>
          <w:rFonts w:ascii="Calibri" w:cs="Calibri" w:eastAsia="Calibri" w:hAnsi="Calibri"/>
          <w:color w:val="1A1A1A"/>
          <w:sz w:val="20"/>
          <w:szCs w:val="20"/>
        </w:rPr>
        <w:t xml:space="preserve">Node.js, NestJS, Express, REST APIs, tRPC, API design, Drizzle ORM, Redis + Bull queues, node-cron, pg_cron</w:t>
      </w:r>
    </w:p>
    <w:p>
      <w:pPr>
        <w:tabs>
          <w:tab w:val="left" w:pos="1500"/>
        </w:tabs>
        <w:spacing w:after="20" w:line="224"/>
        <w:ind w:left="1500" w:hanging="1500"/>
      </w:pPr>
      <w:r>
        <w:rPr>
          <w:rFonts w:ascii="Calibri" w:cs="Calibri" w:eastAsia="Calibri" w:hAnsi="Calibri"/>
          <w:b/>
          <w:bCs/>
          <w:color w:val="1A1A1A"/>
          <w:sz w:val="20"/>
          <w:szCs w:val="20"/>
        </w:rPr>
        <w:t xml:space="preserve">Databases</w:t>
      </w:r>
      <w:r>
        <w:rPr>
          <w:rFonts w:ascii="Calibri" w:cs="Calibri" w:eastAsia="Calibri" w:hAnsi="Calibri"/>
          <w:sz w:val="20"/>
          <w:szCs w:val="20"/>
        </w:rPr>
        <w:t xml:space="preserve">	</w:t>
      </w:r>
      <w:r>
        <w:rPr>
          <w:rFonts w:ascii="Calibri" w:cs="Calibri" w:eastAsia="Calibri" w:hAnsi="Calibri"/>
          <w:color w:val="1A1A1A"/>
          <w:sz w:val="20"/>
          <w:szCs w:val="20"/>
        </w:rPr>
        <w:t xml:space="preserve">PostgreSQL (100+ table schemas, recursive CTEs, advisory locks, stored procedures), MySQL, MongoDB, Supabase</w:t>
      </w:r>
    </w:p>
    <w:p>
      <w:pPr>
        <w:tabs>
          <w:tab w:val="left" w:pos="1500"/>
        </w:tabs>
        <w:spacing w:after="20" w:line="224"/>
        <w:ind w:left="1500" w:hanging="1500"/>
      </w:pPr>
      <w:r>
        <w:rPr>
          <w:rFonts w:ascii="Calibri" w:cs="Calibri" w:eastAsia="Calibri" w:hAnsi="Calibri"/>
          <w:b/>
          <w:bCs/>
          <w:color w:val="1A1A1A"/>
          <w:sz w:val="20"/>
          <w:szCs w:val="20"/>
        </w:rPr>
        <w:t xml:space="preserve">Cloud &amp; DevOps</w:t>
      </w:r>
      <w:r>
        <w:rPr>
          <w:rFonts w:ascii="Calibri" w:cs="Calibri" w:eastAsia="Calibri" w:hAnsi="Calibri"/>
          <w:sz w:val="20"/>
          <w:szCs w:val="20"/>
        </w:rPr>
        <w:t xml:space="preserve">	</w:t>
      </w:r>
      <w:r>
        <w:rPr>
          <w:rFonts w:ascii="Calibri" w:cs="Calibri" w:eastAsia="Calibri" w:hAnsi="Calibri"/>
          <w:color w:val="1A1A1A"/>
          <w:sz w:val="20"/>
          <w:szCs w:val="20"/>
        </w:rPr>
        <w:t xml:space="preserve">AWS (Lambda, EC2, RDS, S3, SES), Google Cloud (Vision, Translate, Storage), Serverless, Docker, PM2, Nginx</w:t>
      </w:r>
    </w:p>
    <w:p>
      <w:pPr>
        <w:tabs>
          <w:tab w:val="left" w:pos="1500"/>
        </w:tabs>
        <w:spacing w:after="20" w:line="224"/>
        <w:ind w:left="1500" w:hanging="1500"/>
      </w:pPr>
      <w:r>
        <w:rPr>
          <w:rFonts w:ascii="Calibri" w:cs="Calibri" w:eastAsia="Calibri" w:hAnsi="Calibri"/>
          <w:b/>
          <w:bCs/>
          <w:color w:val="1A1A1A"/>
          <w:sz w:val="20"/>
          <w:szCs w:val="20"/>
        </w:rPr>
        <w:t xml:space="preserve">Tooling &amp; CI</w:t>
      </w:r>
      <w:r>
        <w:rPr>
          <w:rFonts w:ascii="Calibri" w:cs="Calibri" w:eastAsia="Calibri" w:hAnsi="Calibri"/>
          <w:sz w:val="20"/>
          <w:szCs w:val="20"/>
        </w:rPr>
        <w:t xml:space="preserve">	</w:t>
      </w:r>
      <w:r>
        <w:rPr>
          <w:rFonts w:ascii="Calibri" w:cs="Calibri" w:eastAsia="Calibri" w:hAnsi="Calibri"/>
          <w:color w:val="1A1A1A"/>
          <w:sz w:val="20"/>
          <w:szCs w:val="20"/>
        </w:rPr>
        <w:t xml:space="preserve">Git, GitHub, GitHub Actions, Vitest, Playwright, ESLint, TypeScript strict mode, Postman, Figma</w:t>
      </w:r>
    </w:p>
    <w:p>
      <w:pPr>
        <w:tabs>
          <w:tab w:val="left" w:pos="1500"/>
        </w:tabs>
        <w:spacing w:after="20" w:line="224"/>
        <w:ind w:left="1500" w:hanging="1500"/>
      </w:pPr>
      <w:r>
        <w:rPr>
          <w:rFonts w:ascii="Calibri" w:cs="Calibri" w:eastAsia="Calibri" w:hAnsi="Calibri"/>
          <w:b/>
          <w:bCs/>
          <w:color w:val="1A1A1A"/>
          <w:sz w:val="20"/>
          <w:szCs w:val="20"/>
        </w:rPr>
        <w:t xml:space="preserve">AI &amp; Documents</w:t>
      </w:r>
      <w:r>
        <w:rPr>
          <w:rFonts w:ascii="Calibri" w:cs="Calibri" w:eastAsia="Calibri" w:hAnsi="Calibri"/>
          <w:sz w:val="20"/>
          <w:szCs w:val="20"/>
        </w:rPr>
        <w:t xml:space="preserve">	</w:t>
      </w:r>
      <w:r>
        <w:rPr>
          <w:rFonts w:ascii="Calibri" w:cs="Calibri" w:eastAsia="Calibri" w:hAnsi="Calibri"/>
          <w:color w:val="1A1A1A"/>
          <w:sz w:val="20"/>
          <w:szCs w:val="20"/>
        </w:rPr>
        <w:t xml:space="preserve">OpenAI API, Google Vision OCR, Puppeteer, React SSR to PDF, WeasyPrint, DOCX generation, ExcelJS, EJS</w:t>
      </w:r>
    </w:p>
    <w:p>
      <w:pPr>
        <w:tabs>
          <w:tab w:val="left" w:pos="1500"/>
        </w:tabs>
        <w:spacing w:after="20" w:line="224"/>
        <w:ind w:left="1500" w:hanging="1500"/>
      </w:pPr>
      <w:r>
        <w:rPr>
          <w:rFonts w:ascii="Calibri" w:cs="Calibri" w:eastAsia="Calibri" w:hAnsi="Calibri"/>
          <w:b/>
          <w:bCs/>
          <w:color w:val="1A1A1A"/>
          <w:sz w:val="20"/>
          <w:szCs w:val="20"/>
        </w:rPr>
        <w:t xml:space="preserve">Architecture</w:t>
      </w:r>
      <w:r>
        <w:rPr>
          <w:rFonts w:ascii="Calibri" w:cs="Calibri" w:eastAsia="Calibri" w:hAnsi="Calibri"/>
          <w:sz w:val="20"/>
          <w:szCs w:val="20"/>
        </w:rPr>
        <w:t xml:space="preserve">	</w:t>
      </w:r>
      <w:r>
        <w:rPr>
          <w:rFonts w:ascii="Calibri" w:cs="Calibri" w:eastAsia="Calibri" w:hAnsi="Calibri"/>
          <w:color w:val="1A1A1A"/>
          <w:sz w:val="20"/>
          <w:szCs w:val="20"/>
        </w:rPr>
        <w:t xml:space="preserve">Multi-tenant isolation, RBAC matrices, JWT / NextAuth SSO, audit trails, job queues, third-party integration</w:t>
      </w:r>
    </w:p>
    <w:p>
      <w:pPr>
        <w:pStyle w:val="Heading1"/>
        <w:pBdr>
          <w:bottom w:val="single" w:color="8C8C8C" w:sz="6" w:space="2"/>
        </w:pBdr>
        <w:spacing w:after="11" w:before="108"/>
      </w:pPr>
      <w:r>
        <w:rPr>
          <w:rFonts w:ascii="Calibri" w:cs="Calibri" w:eastAsia="Calibri" w:hAnsi="Calibri"/>
          <w:b/>
          <w:bCs/>
          <w:color w:val="1A1A1A"/>
          <w:spacing w:val="40"/>
          <w:sz w:val="21"/>
          <w:szCs w:val="21"/>
        </w:rPr>
        <w:t xml:space="preserve">PROFESSIONAL EXPERIENCE</w:t>
      </w:r>
    </w:p>
    <w:p>
      <w:pPr>
        <w:tabs>
          <w:tab w:val="right" w:pos="10426"/>
        </w:tabs>
        <w:spacing w:after="0" w:before="96"/>
      </w:pPr>
      <w:r>
        <w:rPr>
          <w:rFonts w:ascii="Calibri" w:cs="Calibri" w:eastAsia="Calibri" w:hAnsi="Calibri"/>
          <w:b/>
          <w:bCs/>
          <w:color w:val="1A1A1A"/>
          <w:sz w:val="21"/>
          <w:szCs w:val="21"/>
        </w:rPr>
        <w:t xml:space="preserve">Full Stack Engineer — Product</w:t>
      </w:r>
      <w:r>
        <w:rPr>
          <w:rFonts w:ascii="Calibri" w:cs="Calibri" w:eastAsia="Calibri" w:hAnsi="Calibri"/>
          <w:sz w:val="20"/>
          <w:szCs w:val="20"/>
        </w:rPr>
        <w:t xml:space="preserve">	</w:t>
      </w:r>
      <w:r>
        <w:rPr>
          <w:rFonts w:ascii="Calibri" w:cs="Calibri" w:eastAsia="Calibri" w:hAnsi="Calibri"/>
          <w:color w:val="555555"/>
          <w:sz w:val="19"/>
          <w:szCs w:val="19"/>
        </w:rPr>
        <w:t xml:space="preserve">July 2022 – Present</w:t>
      </w:r>
    </w:p>
    <w:p>
      <w:pPr>
        <w:spacing w:after="70"/>
      </w:pPr>
      <w:r>
        <w:rPr>
          <w:rFonts w:ascii="Calibri" w:cs="Calibri" w:eastAsia="Calibri" w:hAnsi="Calibri"/>
          <w:i/>
          <w:iCs/>
          <w:color w:val="1A1A1A"/>
          <w:sz w:val="20"/>
          <w:szCs w:val="20"/>
        </w:rPr>
        <w:t xml:space="preserve">Wysbryx Technologies Pvt. Ltd. (formerly Deedbee Social Ventures)</w:t>
      </w:r>
      <w:r>
        <w:rPr>
          <w:rFonts w:ascii="Calibri" w:cs="Calibri" w:eastAsia="Calibri" w:hAnsi="Calibri"/>
          <w:i/>
          <w:iCs/>
          <w:color w:val="555555"/>
          <w:sz w:val="19"/>
          <w:szCs w:val="19"/>
        </w:rPr>
        <w:t xml:space="preserve">  ·  Bengaluru, India</w:t>
      </w:r>
    </w:p>
    <w:p>
      <w:pPr>
        <w:spacing w:after="30" w:line="232"/>
      </w:pPr>
      <w:r>
        <w:rPr>
          <w:rFonts w:ascii="Calibri" w:cs="Calibri" w:eastAsia="Calibri" w:hAnsi="Calibri"/>
          <w:color w:val="1A1A1A"/>
          <w:sz w:val="20"/>
          <w:szCs w:val="20"/>
        </w:rPr>
        <w:t xml:space="preserve">Full-stack ownership across two multi-tenant B2B platforms, working from database schema and API design through to production UI, deployment and incident response.</w:t>
      </w:r>
    </w:p>
    <w:p>
      <w:pPr>
        <w:tabs>
          <w:tab w:val="right" w:pos="10426"/>
        </w:tabs>
        <w:spacing w:after="14" w:before="70"/>
      </w:pPr>
      <w:r>
        <w:rPr>
          <w:rFonts w:ascii="Calibri" w:cs="Calibri" w:eastAsia="Calibri" w:hAnsi="Calibri"/>
          <w:b/>
          <w:bCs/>
          <w:color w:val="1A1A1A"/>
          <w:sz w:val="20"/>
          <w:szCs w:val="20"/>
        </w:rPr>
        <w:t xml:space="preserve">NKE Wire Assembly ERP  —  manufacturing ERP system  ·  Jan 2026 – Present</w:t>
      </w:r>
      <w:r>
        <w:rPr>
          <w:rFonts w:ascii="Calibri" w:cs="Calibri" w:eastAsia="Calibri" w:hAnsi="Calibri"/>
          <w:sz w:val="19"/>
          <w:szCs w:val="19"/>
        </w:rPr>
        <w:t xml:space="preserve">	</w:t>
      </w:r>
      <w:hyperlink w:history="1" r:id="rId1x6xtvc5y-wkfolhs9y87">
        <w:r>
          <w:rPr>
            <w:rFonts w:ascii="Calibri" w:cs="Calibri" w:eastAsia="Calibri" w:hAnsi="Calibri"/>
            <w:color w:val="2B5C8A"/>
            <w:sz w:val="18"/>
            <w:szCs w:val="18"/>
            <w:u w:val="single"/>
          </w:rPr>
          <w:t xml:space="preserve">nkegroup.com</w:t>
        </w:r>
      </w:hyperlink>
    </w:p>
    <w:p>
      <w:pPr>
        <w:spacing w:after="30" w:line="232"/>
      </w:pPr>
      <w:r>
        <w:rPr>
          <w:rFonts w:ascii="Calibri" w:cs="Calibri" w:eastAsia="Calibri" w:hAnsi="Calibri"/>
          <w:color w:val="1A1A1A"/>
          <w:sz w:val="20"/>
          <w:szCs w:val="20"/>
        </w:rPr>
        <w:t xml:space="preserve">A multi-tenant T3-stack ERP (Next.js 14 App Router, tRPC v11, Drizzle ORM, NextAuth, Tailwind) for cable, connector and adaptor manufacturing — engineering specifications, compliance certification, costing, pricing, quotations, work orders and packing lists across ~115 PostgreSQL tables. Primary contributor to the admin, user, engineering, pricing and work order modules.</w:t>
      </w:r>
    </w:p>
    <w:p>
      <w:pPr>
        <w:tabs>
          <w:tab w:val="right" w:pos="10426"/>
        </w:tabs>
        <w:spacing w:after="14" w:before="70"/>
      </w:pPr>
      <w:r>
        <w:rPr>
          <w:rFonts w:ascii="Calibri" w:cs="Calibri" w:eastAsia="Calibri" w:hAnsi="Calibri"/>
          <w:b/>
          <w:bCs/>
          <w:color w:val="1A1A1A"/>
          <w:sz w:val="20"/>
          <w:szCs w:val="20"/>
        </w:rPr>
        <w:t xml:space="preserve">Admin &amp; User Modules</w:t>
      </w:r>
    </w:p>
    <w:p>
      <w:pPr>
        <w:pStyle w:val="ListParagraph"/>
        <w:numPr>
          <w:ilvl w:val="0"/>
          <w:numId w:val="2"/>
        </w:numPr>
        <w:spacing w:after="16" w:line="224"/>
      </w:pPr>
      <w:r>
        <w:rPr>
          <w:rFonts w:ascii="Calibri" w:cs="Calibri" w:eastAsia="Calibri" w:hAnsi="Calibri"/>
          <w:color w:val="1A1A1A"/>
          <w:sz w:val="20"/>
          <w:szCs w:val="20"/>
        </w:rPr>
        <w:t xml:space="preserve">Built user and role management with a permission matrix resolving user → role → sub-module → permission across view, create, edit, approve, delete and download flags, called explicitly on every mutation that can change a user's role or a role's permissions.</w:t>
      </w:r>
    </w:p>
    <w:p>
      <w:pPr>
        <w:pStyle w:val="ListParagraph"/>
        <w:numPr>
          <w:ilvl w:val="0"/>
          <w:numId w:val="2"/>
        </w:numPr>
        <w:spacing w:after="16" w:line="224"/>
      </w:pPr>
      <w:r>
        <w:rPr>
          <w:rFonts w:ascii="Calibri" w:cs="Calibri" w:eastAsia="Calibri" w:hAnsi="Calibri"/>
          <w:color w:val="1A1A1A"/>
          <w:sz w:val="20"/>
          <w:szCs w:val="20"/>
        </w:rPr>
        <w:t xml:space="preserve">Consolidated five or more independent, disagreeing ad hoc admin checks — substring matches against role names, checks reading only the first role of a multi-role user — into one exact, case-insensitive resolver used by both server procedures and client hooks.</w:t>
      </w:r>
    </w:p>
    <w:p>
      <w:pPr>
        <w:pStyle w:val="ListParagraph"/>
        <w:numPr>
          <w:ilvl w:val="0"/>
          <w:numId w:val="2"/>
        </w:numPr>
        <w:spacing w:after="16" w:line="224"/>
      </w:pPr>
      <w:r>
        <w:rPr>
          <w:rFonts w:ascii="Calibri" w:cs="Calibri" w:eastAsia="Calibri" w:hAnsi="Calibri"/>
          <w:color w:val="1A1A1A"/>
          <w:sz w:val="20"/>
          <w:szCs w:val="20"/>
        </w:rPr>
        <w:t xml:space="preserve">Hardened authentication so every protected call re-checks user activation state in the database, rejecting a deactivated user's already-issued JWT immediately rather than letting it stay valid until natural expiry.</w:t>
      </w:r>
    </w:p>
    <w:p>
      <w:pPr>
        <w:pStyle w:val="ListParagraph"/>
        <w:numPr>
          <w:ilvl w:val="0"/>
          <w:numId w:val="2"/>
        </w:numPr>
        <w:spacing w:after="16" w:line="224"/>
      </w:pPr>
      <w:r>
        <w:rPr>
          <w:rFonts w:ascii="Calibri" w:cs="Calibri" w:eastAsia="Calibri" w:hAnsi="Calibri"/>
          <w:color w:val="1A1A1A"/>
          <w:sz w:val="20"/>
          <w:szCs w:val="20"/>
        </w:rPr>
        <w:t xml:space="preserve">Built tenant and data-group administration screens backing the platform's multi-tenant model, including per-tenant branding and domain configuration.</w:t>
      </w:r>
    </w:p>
    <w:p>
      <w:pPr>
        <w:tabs>
          <w:tab w:val="right" w:pos="10426"/>
        </w:tabs>
        <w:spacing w:after="14" w:before="70"/>
      </w:pPr>
      <w:r>
        <w:rPr>
          <w:rFonts w:ascii="Calibri" w:cs="Calibri" w:eastAsia="Calibri" w:hAnsi="Calibri"/>
          <w:b/>
          <w:bCs/>
          <w:color w:val="1A1A1A"/>
          <w:sz w:val="20"/>
          <w:szCs w:val="20"/>
        </w:rPr>
        <w:t xml:space="preserve">Engineering Module</w:t>
      </w:r>
    </w:p>
    <w:p>
      <w:pPr>
        <w:pStyle w:val="ListParagraph"/>
        <w:numPr>
          <w:ilvl w:val="0"/>
          <w:numId w:val="2"/>
        </w:numPr>
        <w:spacing w:after="16" w:line="224"/>
      </w:pPr>
      <w:r>
        <w:rPr>
          <w:rFonts w:ascii="Calibri" w:cs="Calibri" w:eastAsia="Calibri" w:hAnsi="Calibri"/>
          <w:color w:val="1A1A1A"/>
          <w:sz w:val="20"/>
          <w:szCs w:val="20"/>
        </w:rPr>
        <w:t xml:space="preserve">Built specification and compliance forms for single-interface, dual-interface and RF cable assembly products, with Zod schemas colocated with their pages and shared controlled-input primitives throughout.</w:t>
      </w:r>
    </w:p>
    <w:p>
      <w:pPr>
        <w:pStyle w:val="ListParagraph"/>
        <w:numPr>
          <w:ilvl w:val="0"/>
          <w:numId w:val="2"/>
        </w:numPr>
        <w:spacing w:after="16" w:line="224"/>
      </w:pPr>
      <w:r>
        <w:rPr>
          <w:rFonts w:ascii="Calibri" w:cs="Calibri" w:eastAsia="Calibri" w:hAnsi="Calibri"/>
          <w:color w:val="1A1A1A"/>
          <w:sz w:val="20"/>
          <w:szCs w:val="20"/>
        </w:rPr>
        <w:t xml:space="preserve">Implemented ordered field resolution for compliance documents that de-duplicates parameters appearing in multiple connector specifications and prefers entries carrying real data over placeholder values.</w:t>
      </w:r>
    </w:p>
    <w:p>
      <w:pPr>
        <w:pStyle w:val="ListParagraph"/>
        <w:numPr>
          <w:ilvl w:val="0"/>
          <w:numId w:val="2"/>
        </w:numPr>
        <w:spacing w:after="16" w:line="224"/>
      </w:pPr>
      <w:r>
        <w:rPr>
          <w:rFonts w:ascii="Calibri" w:cs="Calibri" w:eastAsia="Calibri" w:hAnsi="Calibri"/>
          <w:color w:val="1A1A1A"/>
          <w:sz w:val="20"/>
          <w:szCs w:val="20"/>
        </w:rPr>
        <w:t xml:space="preserve">Built datasheet and specification document generation for connectors, cables and adaptors in both PDF and Word output.</w:t>
      </w:r>
    </w:p>
    <w:p>
      <w:pPr>
        <w:tabs>
          <w:tab w:val="right" w:pos="10426"/>
        </w:tabs>
        <w:spacing w:after="14" w:before="70"/>
      </w:pPr>
      <w:r>
        <w:rPr>
          <w:rFonts w:ascii="Calibri" w:cs="Calibri" w:eastAsia="Calibri" w:hAnsi="Calibri"/>
          <w:b/>
          <w:bCs/>
          <w:color w:val="1A1A1A"/>
          <w:sz w:val="20"/>
          <w:szCs w:val="20"/>
        </w:rPr>
        <w:t xml:space="preserve">Pricing Module</w:t>
      </w:r>
    </w:p>
    <w:p>
      <w:pPr>
        <w:pStyle w:val="ListParagraph"/>
        <w:numPr>
          <w:ilvl w:val="0"/>
          <w:numId w:val="2"/>
        </w:numPr>
        <w:spacing w:after="16" w:line="224"/>
      </w:pPr>
      <w:r>
        <w:rPr>
          <w:rFonts w:ascii="Calibri" w:cs="Calibri" w:eastAsia="Calibri" w:hAnsi="Calibri"/>
          <w:color w:val="1A1A1A"/>
          <w:sz w:val="20"/>
          <w:szCs w:val="20"/>
        </w:rPr>
        <w:t xml:space="preserve">Built traded-goods and cable-assembly pricing paths with FX normalisation to INR, MOQ-based cost selection and configurable margin handling, keeping pure calculation helpers separate from router orchestration so several routers share one implementation.</w:t>
      </w:r>
    </w:p>
    <w:p>
      <w:pPr>
        <w:pStyle w:val="ListParagraph"/>
        <w:numPr>
          <w:ilvl w:val="0"/>
          <w:numId w:val="2"/>
        </w:numPr>
        <w:spacing w:after="16" w:line="224"/>
      </w:pPr>
      <w:r>
        <w:rPr>
          <w:rFonts w:ascii="Calibri" w:cs="Calibri" w:eastAsia="Calibri" w:hAnsi="Calibri"/>
          <w:color w:val="1A1A1A"/>
          <w:sz w:val="20"/>
          <w:szCs w:val="20"/>
        </w:rPr>
        <w:t xml:space="preserve">Worked behind a sanitisation boundary that strips vendor-internal cost and part data from payloads before they leave the sales layer, with distinct builders for traded and cable-assembly rows to prevent cross-path data leakage.</w:t>
      </w:r>
    </w:p>
    <w:p>
      <w:pPr>
        <w:pStyle w:val="ListParagraph"/>
        <w:numPr>
          <w:ilvl w:val="0"/>
          <w:numId w:val="2"/>
        </w:numPr>
        <w:spacing w:after="16" w:line="224"/>
      </w:pPr>
      <w:r>
        <w:rPr>
          <w:rFonts w:ascii="Calibri" w:cs="Calibri" w:eastAsia="Calibri" w:hAnsi="Calibri"/>
          <w:color w:val="1A1A1A"/>
          <w:sz w:val="20"/>
          <w:szCs w:val="20"/>
        </w:rPr>
        <w:t xml:space="preserve">Built stale-pricing detection surfacing which underlying cost or FX sources have drifted, warning quoting users before they rely on outdated figures.</w:t>
      </w:r>
    </w:p>
    <w:p>
      <w:pPr>
        <w:pStyle w:val="ListParagraph"/>
        <w:numPr>
          <w:ilvl w:val="0"/>
          <w:numId w:val="2"/>
        </w:numPr>
        <w:spacing w:after="16" w:line="224"/>
      </w:pPr>
      <w:r>
        <w:rPr>
          <w:rFonts w:ascii="Calibri" w:cs="Calibri" w:eastAsia="Calibri" w:hAnsi="Calibri"/>
          <w:color w:val="1A1A1A"/>
          <w:sz w:val="20"/>
          <w:szCs w:val="20"/>
        </w:rPr>
        <w:t xml:space="preserve">Wrote contract, golden-snapshot and numeric-guard test suites in Vitest covering pricing boundaries, output shape and floating-point rounding, with Playwright end-to-end coverage.</w:t>
      </w:r>
    </w:p>
    <w:p>
      <w:pPr>
        <w:tabs>
          <w:tab w:val="right" w:pos="10426"/>
        </w:tabs>
        <w:spacing w:after="14" w:before="70"/>
      </w:pPr>
      <w:r>
        <w:rPr>
          <w:rFonts w:ascii="Calibri" w:cs="Calibri" w:eastAsia="Calibri" w:hAnsi="Calibri"/>
          <w:b/>
          <w:bCs/>
          <w:color w:val="1A1A1A"/>
          <w:sz w:val="20"/>
          <w:szCs w:val="20"/>
        </w:rPr>
        <w:t xml:space="preserve">Work Order &amp; Production</w:t>
      </w:r>
    </w:p>
    <w:p>
      <w:pPr>
        <w:pStyle w:val="ListParagraph"/>
        <w:numPr>
          <w:ilvl w:val="0"/>
          <w:numId w:val="2"/>
        </w:numPr>
        <w:spacing w:after="16" w:line="224"/>
      </w:pPr>
      <w:r>
        <w:rPr>
          <w:rFonts w:ascii="Calibri" w:cs="Calibri" w:eastAsia="Calibri" w:hAnsi="Calibri"/>
          <w:color w:val="1A1A1A"/>
          <w:sz w:val="20"/>
          <w:szCs w:val="20"/>
        </w:rPr>
        <w:t xml:space="preserve">Built work order, work order contract, packing list and address sheet generation over a shared cached Puppeteer rendering pipeline and a separate WeasyPrint microservice used where true CSS Paged Media support was needed.</w:t>
      </w:r>
    </w:p>
    <w:p>
      <w:pPr>
        <w:pStyle w:val="ListParagraph"/>
        <w:numPr>
          <w:ilvl w:val="0"/>
          <w:numId w:val="2"/>
        </w:numPr>
        <w:spacing w:after="16" w:line="224"/>
      </w:pPr>
      <w:r>
        <w:rPr>
          <w:rFonts w:ascii="Calibri" w:cs="Calibri" w:eastAsia="Calibri" w:hAnsi="Calibri"/>
          <w:color w:val="1A1A1A"/>
          <w:sz w:val="20"/>
          <w:szCs w:val="20"/>
        </w:rPr>
        <w:t xml:space="preserve">Diagnosed and fixed a font-inheritance defect in the Word export path where injected header and footer runs silently fell back to a default serif face while body text carried the correct family — one shared fix that corrected all eight document types at once.</w:t>
      </w:r>
    </w:p>
    <w:p>
      <w:pPr>
        <w:tabs>
          <w:tab w:val="right" w:pos="10426"/>
        </w:tabs>
        <w:spacing w:after="14" w:before="70"/>
      </w:pPr>
      <w:r>
        <w:rPr>
          <w:rFonts w:ascii="Calibri" w:cs="Calibri" w:eastAsia="Calibri" w:hAnsi="Calibri"/>
          <w:b/>
          <w:bCs/>
          <w:color w:val="1A1A1A"/>
          <w:sz w:val="20"/>
          <w:szCs w:val="20"/>
        </w:rPr>
        <w:t xml:space="preserve">Platform &amp; Data</w:t>
      </w:r>
    </w:p>
    <w:p>
      <w:pPr>
        <w:pStyle w:val="ListParagraph"/>
        <w:numPr>
          <w:ilvl w:val="0"/>
          <w:numId w:val="2"/>
        </w:numPr>
        <w:spacing w:after="16" w:line="224"/>
      </w:pPr>
      <w:r>
        <w:rPr>
          <w:rFonts w:ascii="Calibri" w:cs="Calibri" w:eastAsia="Calibri" w:hAnsi="Calibri"/>
          <w:color w:val="1A1A1A"/>
          <w:sz w:val="20"/>
          <w:szCs w:val="20"/>
        </w:rPr>
        <w:t xml:space="preserve">Enforced multi-tenant isolation by deriving tenant and user identity from the session rather than client input across every query and mutation.</w:t>
      </w:r>
    </w:p>
    <w:p>
      <w:pPr>
        <w:pStyle w:val="ListParagraph"/>
        <w:numPr>
          <w:ilvl w:val="0"/>
          <w:numId w:val="2"/>
        </w:numPr>
        <w:spacing w:after="16" w:line="224"/>
      </w:pPr>
      <w:r>
        <w:rPr>
          <w:rFonts w:ascii="Calibri" w:cs="Calibri" w:eastAsia="Calibri" w:hAnsi="Calibri"/>
          <w:color w:val="1A1A1A"/>
          <w:sz w:val="20"/>
          <w:szCs w:val="20"/>
        </w:rPr>
        <w:t xml:space="preserve">Closed an S3 access gap: because upload keys carried no consistent tenant namespacing, signed-URL and download procedures were reachable with any file path — access is now gated by verifying the requested path is referenced by a row the caller's tenant owns.</w:t>
      </w:r>
    </w:p>
    <w:p>
      <w:pPr>
        <w:pStyle w:val="ListParagraph"/>
        <w:numPr>
          <w:ilvl w:val="0"/>
          <w:numId w:val="2"/>
        </w:numPr>
        <w:spacing w:after="16" w:line="224"/>
      </w:pPr>
      <w:r>
        <w:rPr>
          <w:rFonts w:ascii="Calibri" w:cs="Calibri" w:eastAsia="Calibri" w:hAnsi="Calibri"/>
          <w:color w:val="1A1A1A"/>
          <w:sz w:val="20"/>
          <w:szCs w:val="20"/>
        </w:rPr>
        <w:t xml:space="preserve">Worked within a strict Drizzle migration workflow — generated SQL, committed snapshots, reviewed application order — established after hand-applied migrations corrupted schema diffing and forced a squashed baseline.</w:t>
      </w:r>
    </w:p>
    <w:p>
      <w:pPr>
        <w:tabs>
          <w:tab w:val="right" w:pos="10426"/>
        </w:tabs>
        <w:spacing w:after="14" w:before="70"/>
      </w:pPr>
      <w:r>
        <w:rPr>
          <w:rFonts w:ascii="Calibri" w:cs="Calibri" w:eastAsia="Calibri" w:hAnsi="Calibri"/>
          <w:b/>
          <w:bCs/>
          <w:color w:val="1A1A1A"/>
          <w:sz w:val="20"/>
          <w:szCs w:val="20"/>
        </w:rPr>
        <w:t xml:space="preserve">Nirnai  —  legal due-diligence platform for banks and NBFCs  ·  Jul 2022 – Jan 2026</w:t>
      </w:r>
      <w:r>
        <w:rPr>
          <w:rFonts w:ascii="Calibri" w:cs="Calibri" w:eastAsia="Calibri" w:hAnsi="Calibri"/>
          <w:sz w:val="19"/>
          <w:szCs w:val="19"/>
        </w:rPr>
        <w:t xml:space="preserve">	</w:t>
      </w:r>
      <w:hyperlink w:history="1" r:id="rIdwoqdillhrr5fxam7kq57h">
        <w:r>
          <w:rPr>
            <w:rFonts w:ascii="Calibri" w:cs="Calibri" w:eastAsia="Calibri" w:hAnsi="Calibri"/>
            <w:color w:val="2B5C8A"/>
            <w:sz w:val="18"/>
            <w:szCs w:val="18"/>
            <w:u w:val="single"/>
          </w:rPr>
          <w:t xml:space="preserve">nirnaitech.ai</w:t>
        </w:r>
      </w:hyperlink>
    </w:p>
    <w:p>
      <w:pPr>
        <w:spacing w:after="30" w:line="232"/>
      </w:pPr>
      <w:r>
        <w:rPr>
          <w:rFonts w:ascii="Calibri" w:cs="Calibri" w:eastAsia="Calibri" w:hAnsi="Calibri"/>
          <w:color w:val="1A1A1A"/>
          <w:sz w:val="20"/>
          <w:szCs w:val="20"/>
        </w:rPr>
        <w:t xml:space="preserve">A multi-tenant SaaS platform automating property title verification, legal vetting, valuation and encumbrance certificate tracking for loan origination, serving bank, NBFC and legal-firm tenants. Contributed across all five services in the system.</w:t>
      </w:r>
    </w:p>
    <w:p>
      <w:pPr>
        <w:tabs>
          <w:tab w:val="right" w:pos="10426"/>
        </w:tabs>
        <w:spacing w:after="14" w:before="70"/>
      </w:pPr>
      <w:r>
        <w:rPr>
          <w:rFonts w:ascii="Calibri" w:cs="Calibri" w:eastAsia="Calibri" w:hAnsi="Calibri"/>
          <w:b/>
          <w:bCs/>
          <w:color w:val="1A1A1A"/>
          <w:sz w:val="20"/>
          <w:szCs w:val="20"/>
        </w:rPr>
        <w:t xml:space="preserve">Serverless Backend  —  NestJS on AWS Lambda</w:t>
      </w:r>
    </w:p>
    <w:p>
      <w:pPr>
        <w:pStyle w:val="ListParagraph"/>
        <w:numPr>
          <w:ilvl w:val="0"/>
          <w:numId w:val="2"/>
        </w:numPr>
        <w:spacing w:after="16" w:line="224"/>
      </w:pPr>
      <w:r>
        <w:rPr>
          <w:rFonts w:ascii="Calibri" w:cs="Calibri" w:eastAsia="Calibri" w:hAnsi="Calibri"/>
          <w:color w:val="1A1A1A"/>
          <w:sz w:val="20"/>
          <w:szCs w:val="20"/>
        </w:rPr>
        <w:t xml:space="preserve">Built a dynamic DOCX generation engine producing Memorandum of Deposit of Title Deeds mortgage agreements from relational property records, with bank-specific templates for TruHome, Vridhi and Nivara.</w:t>
      </w:r>
    </w:p>
    <w:p>
      <w:pPr>
        <w:pStyle w:val="ListParagraph"/>
        <w:numPr>
          <w:ilvl w:val="0"/>
          <w:numId w:val="2"/>
        </w:numPr>
        <w:spacing w:after="16" w:line="224"/>
      </w:pPr>
      <w:r>
        <w:rPr>
          <w:rFonts w:ascii="Calibri" w:cs="Calibri" w:eastAsia="Calibri" w:hAnsi="Calibri"/>
          <w:color w:val="1A1A1A"/>
          <w:sz w:val="20"/>
          <w:szCs w:val="20"/>
        </w:rPr>
        <w:t xml:space="preserve">Shipped Nirnai Sentinel, an automated batch monitoring pipeline aggregating post-disbursement encumbrance checks across a loan portfolio, classifying risk as low, moderate or high, generating PDF reports and notifying stakeholders via AWS SES.</w:t>
      </w:r>
    </w:p>
    <w:p>
      <w:pPr>
        <w:pStyle w:val="ListParagraph"/>
        <w:numPr>
          <w:ilvl w:val="0"/>
          <w:numId w:val="2"/>
        </w:numPr>
        <w:spacing w:after="16" w:line="224"/>
      </w:pPr>
      <w:r>
        <w:rPr>
          <w:rFonts w:ascii="Calibri" w:cs="Calibri" w:eastAsia="Calibri" w:hAnsi="Calibri"/>
          <w:color w:val="1A1A1A"/>
          <w:sz w:val="20"/>
          <w:szCs w:val="20"/>
        </w:rPr>
        <w:t xml:space="preserve">Eliminated duplicate batch-completion emails with PostgreSQL advisory transaction locks, resolving a race condition on concurrent submissions, and fixed a data-integrity defect where filter counts diverged from grid results by rewriting the queries with CTEs and COUNT(DISTINCT).</w:t>
      </w:r>
    </w:p>
    <w:p>
      <w:pPr>
        <w:pStyle w:val="ListParagraph"/>
        <w:numPr>
          <w:ilvl w:val="0"/>
          <w:numId w:val="2"/>
        </w:numPr>
        <w:spacing w:after="16" w:line="224"/>
      </w:pPr>
      <w:r>
        <w:rPr>
          <w:rFonts w:ascii="Calibri" w:cs="Calibri" w:eastAsia="Calibri" w:hAnsi="Calibri"/>
          <w:color w:val="1A1A1A"/>
          <w:sz w:val="20"/>
          <w:szCs w:val="20"/>
        </w:rPr>
        <w:t xml:space="preserve">Built analytics and dashboard APIs for case MIS reporting and portfolio progress metrics, an approval-workflow module for multi-stage case sign-off, and tenant subscription-management services.</w:t>
      </w:r>
    </w:p>
    <w:p>
      <w:pPr>
        <w:tabs>
          <w:tab w:val="right" w:pos="10426"/>
        </w:tabs>
        <w:spacing w:after="14" w:before="70"/>
      </w:pPr>
      <w:r>
        <w:rPr>
          <w:rFonts w:ascii="Calibri" w:cs="Calibri" w:eastAsia="Calibri" w:hAnsi="Calibri"/>
          <w:b/>
          <w:bCs/>
          <w:color w:val="1A1A1A"/>
          <w:sz w:val="20"/>
          <w:szCs w:val="20"/>
        </w:rPr>
        <w:t xml:space="preserve">Scheduler Service  —  background automation</w:t>
      </w:r>
    </w:p>
    <w:p>
      <w:pPr>
        <w:pStyle w:val="ListParagraph"/>
        <w:numPr>
          <w:ilvl w:val="0"/>
          <w:numId w:val="2"/>
        </w:numPr>
        <w:spacing w:after="16" w:line="224"/>
      </w:pPr>
      <w:r>
        <w:rPr>
          <w:rFonts w:ascii="Calibri" w:cs="Calibri" w:eastAsia="Calibri" w:hAnsi="Calibri"/>
          <w:color w:val="1A1A1A"/>
          <w:sz w:val="20"/>
          <w:szCs w:val="20"/>
        </w:rPr>
        <w:t xml:space="preserve">Built a config-driven cron abstraction running 20+ automated jobs — case assignment, billing, reporting and incentive calculation — letting operations staff reschedule work through JSON and eliminating redeployments for routine schedule changes.</w:t>
      </w:r>
    </w:p>
    <w:p>
      <w:pPr>
        <w:pStyle w:val="ListParagraph"/>
        <w:numPr>
          <w:ilvl w:val="0"/>
          <w:numId w:val="2"/>
        </w:numPr>
        <w:spacing w:after="16" w:line="224"/>
      </w:pPr>
      <w:r>
        <w:rPr>
          <w:rFonts w:ascii="Calibri" w:cs="Calibri" w:eastAsia="Calibri" w:hAnsi="Calibri"/>
          <w:color w:val="1A1A1A"/>
          <w:sz w:val="20"/>
          <w:szCs w:val="20"/>
        </w:rPr>
        <w:t xml:space="preserve">Designed a Redis and Bull backed job queue running concurrent, state-specific web-automation bots retrieving Encumbrance Certificates from Andhra Pradesh, Telangana, Tamil Nadu and Karnataka land-record portals, with per-advocate concurrency locking and retry logic.</w:t>
      </w:r>
    </w:p>
    <w:p>
      <w:pPr>
        <w:pStyle w:val="ListParagraph"/>
        <w:numPr>
          <w:ilvl w:val="0"/>
          <w:numId w:val="2"/>
        </w:numPr>
        <w:spacing w:after="16" w:line="224"/>
      </w:pPr>
      <w:r>
        <w:rPr>
          <w:rFonts w:ascii="Calibri" w:cs="Calibri" w:eastAsia="Calibri" w:hAnsi="Calibri"/>
          <w:color w:val="1A1A1A"/>
          <w:sz w:val="20"/>
          <w:szCs w:val="20"/>
        </w:rPr>
        <w:t xml:space="preserve">Built an AI document pipeline combining Google Cloud Vision OCR with OpenAI to clean, reconstruct and translate Tamil, Telugu, Kannada and Malayalam legal and property documents into structured English case data.</w:t>
      </w:r>
    </w:p>
    <w:p>
      <w:pPr>
        <w:pStyle w:val="ListParagraph"/>
        <w:numPr>
          <w:ilvl w:val="0"/>
          <w:numId w:val="2"/>
        </w:numPr>
        <w:spacing w:after="16" w:line="224"/>
      </w:pPr>
      <w:r>
        <w:rPr>
          <w:rFonts w:ascii="Calibri" w:cs="Calibri" w:eastAsia="Calibri" w:hAnsi="Calibri"/>
          <w:color w:val="1A1A1A"/>
          <w:sz w:val="20"/>
          <w:szCs w:val="20"/>
        </w:rPr>
        <w:t xml:space="preserve">Implemented a rule-based case auto-assignment engine routing initiator → paralegal → lawyer, factoring staff leave calendars, current workload and stored-procedure logic.</w:t>
      </w:r>
    </w:p>
    <w:p>
      <w:pPr>
        <w:pStyle w:val="ListParagraph"/>
        <w:numPr>
          <w:ilvl w:val="0"/>
          <w:numId w:val="2"/>
        </w:numPr>
        <w:spacing w:after="16" w:line="224"/>
      </w:pPr>
      <w:r>
        <w:rPr>
          <w:rFonts w:ascii="Calibri" w:cs="Calibri" w:eastAsia="Calibri" w:hAnsi="Calibri"/>
          <w:color w:val="1A1A1A"/>
          <w:sz w:val="20"/>
          <w:szCs w:val="20"/>
        </w:rPr>
        <w:t xml:space="preserve">Automated daily and monthly operational reporting — tenant analytics, incentive payouts with month-to-date capping, bot health and duplicate-property detection — as Excel and CSV via AWS SES.</w:t>
      </w:r>
    </w:p>
    <w:p>
      <w:pPr>
        <w:tabs>
          <w:tab w:val="right" w:pos="10426"/>
        </w:tabs>
        <w:spacing w:after="14" w:before="70"/>
      </w:pPr>
      <w:r>
        <w:rPr>
          <w:rFonts w:ascii="Calibri" w:cs="Calibri" w:eastAsia="Calibri" w:hAnsi="Calibri"/>
          <w:b/>
          <w:bCs/>
          <w:color w:val="1A1A1A"/>
          <w:sz w:val="20"/>
          <w:szCs w:val="20"/>
        </w:rPr>
        <w:t xml:space="preserve">PDF Generation Microservice  —  Node.js, React SSR, Puppeteer</w:t>
      </w:r>
    </w:p>
    <w:p>
      <w:pPr>
        <w:pStyle w:val="ListParagraph"/>
        <w:numPr>
          <w:ilvl w:val="0"/>
          <w:numId w:val="2"/>
        </w:numPr>
        <w:spacing w:after="16" w:line="224"/>
      </w:pPr>
      <w:r>
        <w:rPr>
          <w:rFonts w:ascii="Calibri" w:cs="Calibri" w:eastAsia="Calibri" w:hAnsi="Calibri"/>
          <w:color w:val="1A1A1A"/>
          <w:sz w:val="20"/>
          <w:szCs w:val="20"/>
        </w:rPr>
        <w:t xml:space="preserve">Led migration of the report system from untyped EJS templates to a strictly typed, componentised React architecture, building a section-variant dispatcher (PARA / LIST / TABLE / IMAGE) and shared component library, and authoring the architecture README for the team.</w:t>
      </w:r>
    </w:p>
    <w:p>
      <w:pPr>
        <w:pStyle w:val="ListParagraph"/>
        <w:numPr>
          <w:ilvl w:val="0"/>
          <w:numId w:val="2"/>
        </w:numPr>
        <w:spacing w:after="16" w:line="224"/>
      </w:pPr>
      <w:r>
        <w:rPr>
          <w:rFonts w:ascii="Calibri" w:cs="Calibri" w:eastAsia="Calibri" w:hAnsi="Calibri"/>
          <w:color w:val="1A1A1A"/>
          <w:sz w:val="20"/>
          <w:szCs w:val="20"/>
        </w:rPr>
        <w:t xml:space="preserve">Authored lender-specific report templates across a suite of 25+ pixel-tuned formats (IDFC, L&amp;T Finance, RBL, IIFL, Ugro, Veritas, TruHome, Utkarsh and others) with per-tenant logo and colour theming.</w:t>
      </w:r>
    </w:p>
    <w:p>
      <w:pPr>
        <w:pStyle w:val="ListParagraph"/>
        <w:numPr>
          <w:ilvl w:val="0"/>
          <w:numId w:val="2"/>
        </w:numPr>
        <w:spacing w:after="16" w:line="224"/>
      </w:pPr>
      <w:r>
        <w:rPr>
          <w:rFonts w:ascii="Calibri" w:cs="Calibri" w:eastAsia="Calibri" w:hAnsi="Calibri"/>
          <w:color w:val="1A1A1A"/>
          <w:sz w:val="20"/>
          <w:szCs w:val="20"/>
        </w:rPr>
        <w:t xml:space="preserve">Built the invoice generation feature end to end, including its typed data model and PDF route.</w:t>
      </w:r>
    </w:p>
    <w:p>
      <w:pPr>
        <w:pStyle w:val="ListParagraph"/>
        <w:numPr>
          <w:ilvl w:val="0"/>
          <w:numId w:val="2"/>
        </w:numPr>
        <w:spacing w:after="16" w:line="224"/>
      </w:pPr>
      <w:r>
        <w:rPr>
          <w:rFonts w:ascii="Calibri" w:cs="Calibri" w:eastAsia="Calibri" w:hAnsi="Calibri"/>
          <w:color w:val="1A1A1A"/>
          <w:sz w:val="20"/>
          <w:szCs w:val="20"/>
        </w:rPr>
        <w:t xml:space="preserve">Designed and shipped a multi-page encumbrance risk report with cover, summary, risk and transaction-flow pages, and a property valuation report covering build details, a risk-parameter grid and executive summary.</w:t>
      </w:r>
    </w:p>
    <w:p>
      <w:pPr>
        <w:tabs>
          <w:tab w:val="right" w:pos="10426"/>
        </w:tabs>
        <w:spacing w:after="14" w:before="70"/>
      </w:pPr>
      <w:r>
        <w:rPr>
          <w:rFonts w:ascii="Calibri" w:cs="Calibri" w:eastAsia="Calibri" w:hAnsi="Calibri"/>
          <w:b/>
          <w:bCs/>
          <w:color w:val="1A1A1A"/>
          <w:sz w:val="20"/>
          <w:szCs w:val="20"/>
        </w:rPr>
        <w:t xml:space="preserve">Lender Integration API  —  NestJS</w:t>
      </w:r>
    </w:p>
    <w:p>
      <w:pPr>
        <w:pStyle w:val="ListParagraph"/>
        <w:numPr>
          <w:ilvl w:val="0"/>
          <w:numId w:val="2"/>
        </w:numPr>
        <w:spacing w:after="16" w:line="224"/>
      </w:pPr>
      <w:r>
        <w:rPr>
          <w:rFonts w:ascii="Calibri" w:cs="Calibri" w:eastAsia="Calibri" w:hAnsi="Calibri"/>
          <w:color w:val="1A1A1A"/>
          <w:sz w:val="20"/>
          <w:szCs w:val="20"/>
        </w:rPr>
        <w:t xml:space="preserve">Built REST APIs powering case creation, status tracking, assignment and query / response threads between lending officers and the legal team, documented via Swagger with strict DTO validation.</w:t>
      </w:r>
    </w:p>
    <w:p>
      <w:pPr>
        <w:pStyle w:val="ListParagraph"/>
        <w:numPr>
          <w:ilvl w:val="0"/>
          <w:numId w:val="2"/>
        </w:numPr>
        <w:spacing w:after="16" w:line="224"/>
      </w:pPr>
      <w:r>
        <w:rPr>
          <w:rFonts w:ascii="Calibri" w:cs="Calibri" w:eastAsia="Calibri" w:hAnsi="Calibri"/>
          <w:color w:val="1A1A1A"/>
          <w:sz w:val="20"/>
          <w:szCs w:val="20"/>
        </w:rPr>
        <w:t xml:space="preserve">Implemented multi-tenant JWT authentication with tenant-scoped roles and permissions enforced per request, and a document pipeline supporting multipart and base64 upload with validation, backed by Google Cloud Storage.</w:t>
      </w:r>
    </w:p>
    <w:p>
      <w:pPr>
        <w:pStyle w:val="ListParagraph"/>
        <w:numPr>
          <w:ilvl w:val="0"/>
          <w:numId w:val="2"/>
        </w:numPr>
        <w:spacing w:after="16" w:line="224"/>
      </w:pPr>
      <w:r>
        <w:rPr>
          <w:rFonts w:ascii="Calibri" w:cs="Calibri" w:eastAsia="Calibri" w:hAnsi="Calibri"/>
          <w:color w:val="1A1A1A"/>
          <w:sz w:val="20"/>
          <w:szCs w:val="20"/>
        </w:rPr>
        <w:t xml:space="preserve">Delivered legal opinion and encumbrance certificate reports as JSON and PDF for auto-population into lenders' Loan Origination Systems, and built an integration module syncing case status, property data and document submissions with an external portal.</w:t>
      </w:r>
    </w:p>
    <w:p>
      <w:pPr>
        <w:tabs>
          <w:tab w:val="right" w:pos="10426"/>
        </w:tabs>
        <w:spacing w:after="14" w:before="70"/>
      </w:pPr>
      <w:r>
        <w:rPr>
          <w:rFonts w:ascii="Calibri" w:cs="Calibri" w:eastAsia="Calibri" w:hAnsi="Calibri"/>
          <w:b/>
          <w:bCs/>
          <w:color w:val="1A1A1A"/>
          <w:sz w:val="20"/>
          <w:szCs w:val="20"/>
        </w:rPr>
        <w:t xml:space="preserve">Web Application  —  Next.js 14, tRPC</w:t>
      </w:r>
    </w:p>
    <w:p>
      <w:pPr>
        <w:pStyle w:val="ListParagraph"/>
        <w:numPr>
          <w:ilvl w:val="0"/>
          <w:numId w:val="2"/>
        </w:numPr>
        <w:spacing w:after="16" w:line="224"/>
      </w:pPr>
      <w:r>
        <w:rPr>
          <w:rFonts w:ascii="Calibri" w:cs="Calibri" w:eastAsia="Calibri" w:hAnsi="Calibri"/>
          <w:color w:val="1A1A1A"/>
          <w:sz w:val="20"/>
          <w:szCs w:val="20"/>
        </w:rPr>
        <w:t xml:space="preserve">Built the web app for a B2B platform serving bank and legal-firm tenants, with per-tenant branding, SSO and native login, per-tenant storage buckets, and RBAC across roles, permissions, scopes and data groups.</w:t>
      </w:r>
    </w:p>
    <w:p>
      <w:pPr>
        <w:pStyle w:val="ListParagraph"/>
        <w:numPr>
          <w:ilvl w:val="0"/>
          <w:numId w:val="2"/>
        </w:numPr>
        <w:spacing w:after="16" w:line="224"/>
      </w:pPr>
      <w:r>
        <w:rPr>
          <w:rFonts w:ascii="Calibri" w:cs="Calibri" w:eastAsia="Calibri" w:hAnsi="Calibri"/>
          <w:color w:val="1A1A1A"/>
          <w:sz w:val="20"/>
          <w:szCs w:val="20"/>
        </w:rPr>
        <w:t xml:space="preserve">Built role-based dashboard home pages with dynamic layouts and state tailored to each user type, and MIS analytics visualisations in Highcharts for case tracking and portfolio reporting.</w:t>
      </w:r>
    </w:p>
    <w:p>
      <w:pPr>
        <w:pStyle w:val="ListParagraph"/>
        <w:numPr>
          <w:ilvl w:val="0"/>
          <w:numId w:val="2"/>
        </w:numPr>
        <w:spacing w:after="16" w:line="224"/>
      </w:pPr>
      <w:r>
        <w:rPr>
          <w:rFonts w:ascii="Calibri" w:cs="Calibri" w:eastAsia="Calibri" w:hAnsi="Calibri"/>
          <w:color w:val="1A1A1A"/>
          <w:sz w:val="20"/>
          <w:szCs w:val="20"/>
        </w:rPr>
        <w:t xml:space="preserve">Implemented valuation and vetting workflows with role-specific field visibility and validation, and a user points-allocation system spanning tRPC procedures and a filterable front-end table.</w:t>
      </w:r>
    </w:p>
    <w:p>
      <w:pPr>
        <w:pStyle w:val="Heading1"/>
        <w:pBdr>
          <w:bottom w:val="single" w:color="8C8C8C" w:sz="6" w:space="2"/>
        </w:pBdr>
        <w:spacing w:after="11" w:before="108"/>
      </w:pPr>
      <w:r>
        <w:rPr>
          <w:rFonts w:ascii="Calibri" w:cs="Calibri" w:eastAsia="Calibri" w:hAnsi="Calibri"/>
          <w:b/>
          <w:bCs/>
          <w:color w:val="1A1A1A"/>
          <w:spacing w:val="40"/>
          <w:sz w:val="21"/>
          <w:szCs w:val="21"/>
        </w:rPr>
        <w:t xml:space="preserve">CLIENT PROJECTS</w:t>
      </w:r>
    </w:p>
    <w:p>
      <w:pPr>
        <w:tabs>
          <w:tab w:val="right" w:pos="10426"/>
        </w:tabs>
        <w:spacing w:after="14" w:line="224"/>
      </w:pPr>
      <w:r>
        <w:rPr>
          <w:rFonts w:ascii="Calibri" w:cs="Calibri" w:eastAsia="Calibri" w:hAnsi="Calibri"/>
          <w:b/>
          <w:bCs/>
          <w:color w:val="1A1A1A"/>
          <w:sz w:val="20"/>
          <w:szCs w:val="20"/>
        </w:rPr>
        <w:t xml:space="preserve">bSkilling</w:t>
      </w:r>
      <w:r>
        <w:rPr>
          <w:rFonts w:ascii="Calibri" w:cs="Calibri" w:eastAsia="Calibri" w:hAnsi="Calibri"/>
          <w:color w:val="3D3D3D"/>
          <w:sz w:val="20"/>
          <w:szCs w:val="20"/>
        </w:rPr>
        <w:t xml:space="preserve">  ·  edtech LMS for corporate and government training programmes — full front-end build</w:t>
      </w:r>
      <w:r>
        <w:rPr>
          <w:rFonts w:ascii="Calibri" w:cs="Calibri" w:eastAsia="Calibri" w:hAnsi="Calibri"/>
          <w:sz w:val="19"/>
          <w:szCs w:val="19"/>
        </w:rPr>
        <w:t xml:space="preserve">	</w:t>
      </w:r>
      <w:hyperlink w:history="1" r:id="rId5eqegvpymwjn2t_xqvv4e">
        <w:r>
          <w:rPr>
            <w:rFonts w:ascii="Calibri" w:cs="Calibri" w:eastAsia="Calibri" w:hAnsi="Calibri"/>
            <w:color w:val="2B5C8A"/>
            <w:sz w:val="18"/>
            <w:szCs w:val="18"/>
            <w:u w:val="single"/>
          </w:rPr>
          <w:t xml:space="preserve">bskilling.com</w:t>
        </w:r>
      </w:hyperlink>
    </w:p>
    <w:p>
      <w:pPr>
        <w:tabs>
          <w:tab w:val="right" w:pos="10426"/>
        </w:tabs>
        <w:spacing w:after="14" w:line="224"/>
      </w:pPr>
      <w:r>
        <w:rPr>
          <w:rFonts w:ascii="Calibri" w:cs="Calibri" w:eastAsia="Calibri" w:hAnsi="Calibri"/>
          <w:b/>
          <w:bCs/>
          <w:color w:val="1A1A1A"/>
          <w:sz w:val="20"/>
          <w:szCs w:val="20"/>
        </w:rPr>
        <w:t xml:space="preserve">SFJ Business Solutions</w:t>
      </w:r>
      <w:r>
        <w:rPr>
          <w:rFonts w:ascii="Calibri" w:cs="Calibri" w:eastAsia="Calibri" w:hAnsi="Calibri"/>
          <w:color w:val="3D3D3D"/>
          <w:sz w:val="20"/>
          <w:szCs w:val="20"/>
        </w:rPr>
        <w:t xml:space="preserve">  ·  enterprise upskilling and certification portal with course catalogue and enquiry flows</w:t>
      </w:r>
      <w:r>
        <w:rPr>
          <w:rFonts w:ascii="Calibri" w:cs="Calibri" w:eastAsia="Calibri" w:hAnsi="Calibri"/>
          <w:sz w:val="19"/>
          <w:szCs w:val="19"/>
        </w:rPr>
        <w:t xml:space="preserve">	</w:t>
      </w:r>
      <w:hyperlink w:history="1" r:id="rIdgxacsekp5nvxymfnjk5ey">
        <w:r>
          <w:rPr>
            <w:rFonts w:ascii="Calibri" w:cs="Calibri" w:eastAsia="Calibri" w:hAnsi="Calibri"/>
            <w:color w:val="2B5C8A"/>
            <w:sz w:val="18"/>
            <w:szCs w:val="18"/>
            <w:u w:val="single"/>
          </w:rPr>
          <w:t xml:space="preserve">sfjbs.com</w:t>
        </w:r>
      </w:hyperlink>
    </w:p>
    <w:p>
      <w:pPr>
        <w:tabs>
          <w:tab w:val="right" w:pos="10426"/>
        </w:tabs>
        <w:spacing w:after="14" w:line="224"/>
      </w:pPr>
      <w:r>
        <w:rPr>
          <w:rFonts w:ascii="Calibri" w:cs="Calibri" w:eastAsia="Calibri" w:hAnsi="Calibri"/>
          <w:b/>
          <w:bCs/>
          <w:color w:val="1A1A1A"/>
          <w:sz w:val="20"/>
          <w:szCs w:val="20"/>
        </w:rPr>
        <w:t xml:space="preserve">Neo San</w:t>
      </w:r>
      <w:r>
        <w:rPr>
          <w:rFonts w:ascii="Calibri" w:cs="Calibri" w:eastAsia="Calibri" w:hAnsi="Calibri"/>
          <w:color w:val="3D3D3D"/>
          <w:sz w:val="20"/>
          <w:szCs w:val="20"/>
        </w:rPr>
        <w:t xml:space="preserve">  ·  WEF-backed cleantech sanitation and waste-management platform — front-end</w:t>
      </w:r>
      <w:r>
        <w:rPr>
          <w:rFonts w:ascii="Calibri" w:cs="Calibri" w:eastAsia="Calibri" w:hAnsi="Calibri"/>
          <w:sz w:val="19"/>
          <w:szCs w:val="19"/>
        </w:rPr>
        <w:t xml:space="preserve">	</w:t>
      </w:r>
      <w:hyperlink w:history="1" r:id="rIdyvt6dyr7ashzbwblml6qo">
        <w:r>
          <w:rPr>
            <w:rFonts w:ascii="Calibri" w:cs="Calibri" w:eastAsia="Calibri" w:hAnsi="Calibri"/>
            <w:color w:val="2B5C8A"/>
            <w:sz w:val="18"/>
            <w:szCs w:val="18"/>
            <w:u w:val="single"/>
          </w:rPr>
          <w:t xml:space="preserve">neosan.in</w:t>
        </w:r>
      </w:hyperlink>
    </w:p>
    <w:p>
      <w:pPr>
        <w:tabs>
          <w:tab w:val="right" w:pos="10426"/>
        </w:tabs>
        <w:spacing w:after="14" w:line="224"/>
      </w:pPr>
      <w:r>
        <w:rPr>
          <w:rFonts w:ascii="Calibri" w:cs="Calibri" w:eastAsia="Calibri" w:hAnsi="Calibri"/>
          <w:b/>
          <w:bCs/>
          <w:color w:val="1A1A1A"/>
          <w:sz w:val="20"/>
          <w:szCs w:val="20"/>
        </w:rPr>
        <w:t xml:space="preserve">Winfomi</w:t>
      </w:r>
      <w:r>
        <w:rPr>
          <w:rFonts w:ascii="Calibri" w:cs="Calibri" w:eastAsia="Calibri" w:hAnsi="Calibri"/>
          <w:color w:val="3D3D3D"/>
          <w:sz w:val="20"/>
          <w:szCs w:val="20"/>
        </w:rPr>
        <w:t xml:space="preserve">  ·  Salesforce consulting partner site with service and case-study sections — front-end</w:t>
      </w:r>
      <w:r>
        <w:rPr>
          <w:rFonts w:ascii="Calibri" w:cs="Calibri" w:eastAsia="Calibri" w:hAnsi="Calibri"/>
          <w:sz w:val="19"/>
          <w:szCs w:val="19"/>
        </w:rPr>
        <w:t xml:space="preserve">	</w:t>
      </w:r>
      <w:hyperlink w:history="1" r:id="rIdictbzt8ambf1vdebbdb4i">
        <w:r>
          <w:rPr>
            <w:rFonts w:ascii="Calibri" w:cs="Calibri" w:eastAsia="Calibri" w:hAnsi="Calibri"/>
            <w:color w:val="2B5C8A"/>
            <w:sz w:val="18"/>
            <w:szCs w:val="18"/>
            <w:u w:val="single"/>
          </w:rPr>
          <w:t xml:space="preserve">winfomi.com</w:t>
        </w:r>
      </w:hyperlink>
    </w:p>
    <w:p>
      <w:pPr>
        <w:tabs>
          <w:tab w:val="right" w:pos="10426"/>
        </w:tabs>
        <w:spacing w:after="14" w:line="224"/>
      </w:pPr>
      <w:r>
        <w:rPr>
          <w:rFonts w:ascii="Calibri" w:cs="Calibri" w:eastAsia="Calibri" w:hAnsi="Calibri"/>
          <w:b/>
          <w:bCs/>
          <w:color w:val="1A1A1A"/>
          <w:sz w:val="20"/>
          <w:szCs w:val="20"/>
        </w:rPr>
        <w:t xml:space="preserve">Madhur Pharma</w:t>
      </w:r>
      <w:r>
        <w:rPr>
          <w:rFonts w:ascii="Calibri" w:cs="Calibri" w:eastAsia="Calibri" w:hAnsi="Calibri"/>
          <w:color w:val="3D3D3D"/>
          <w:sz w:val="20"/>
          <w:szCs w:val="20"/>
        </w:rPr>
        <w:t xml:space="preserve">  ·  contract manufacturer of pharmaceuticals, cosmetics and nutraceuticals</w:t>
      </w:r>
      <w:r>
        <w:rPr>
          <w:rFonts w:ascii="Calibri" w:cs="Calibri" w:eastAsia="Calibri" w:hAnsi="Calibri"/>
          <w:sz w:val="19"/>
          <w:szCs w:val="19"/>
        </w:rPr>
        <w:t xml:space="preserve">	</w:t>
      </w:r>
      <w:hyperlink w:history="1" r:id="rIdxmuaewc5mmqckkf93whhr">
        <w:r>
          <w:rPr>
            <w:rFonts w:ascii="Calibri" w:cs="Calibri" w:eastAsia="Calibri" w:hAnsi="Calibri"/>
            <w:color w:val="2B5C8A"/>
            <w:sz w:val="18"/>
            <w:szCs w:val="18"/>
            <w:u w:val="single"/>
          </w:rPr>
          <w:t xml:space="preserve">madhurpharma.in</w:t>
        </w:r>
      </w:hyperlink>
    </w:p>
    <w:p>
      <w:pPr>
        <w:tabs>
          <w:tab w:val="right" w:pos="10426"/>
        </w:tabs>
        <w:spacing w:after="14" w:line="224"/>
      </w:pPr>
      <w:r>
        <w:rPr>
          <w:rFonts w:ascii="Calibri" w:cs="Calibri" w:eastAsia="Calibri" w:hAnsi="Calibri"/>
          <w:b/>
          <w:bCs/>
          <w:color w:val="1A1A1A"/>
          <w:sz w:val="20"/>
          <w:szCs w:val="20"/>
        </w:rPr>
        <w:t xml:space="preserve">Alt Tech Consortium</w:t>
      </w:r>
      <w:r>
        <w:rPr>
          <w:rFonts w:ascii="Calibri" w:cs="Calibri" w:eastAsia="Calibri" w:hAnsi="Calibri"/>
          <w:color w:val="3D3D3D"/>
          <w:sz w:val="20"/>
          <w:szCs w:val="20"/>
        </w:rPr>
        <w:t xml:space="preserve">  ·  alternative-technology industry consortium and member directory</w:t>
      </w:r>
      <w:r>
        <w:rPr>
          <w:rFonts w:ascii="Calibri" w:cs="Calibri" w:eastAsia="Calibri" w:hAnsi="Calibri"/>
          <w:sz w:val="19"/>
          <w:szCs w:val="19"/>
        </w:rPr>
        <w:t xml:space="preserve">	</w:t>
      </w:r>
      <w:hyperlink w:history="1" r:id="rId0vdo0ykghv1sqohu1mlqm">
        <w:r>
          <w:rPr>
            <w:rFonts w:ascii="Calibri" w:cs="Calibri" w:eastAsia="Calibri" w:hAnsi="Calibri"/>
            <w:color w:val="2B5C8A"/>
            <w:sz w:val="18"/>
            <w:szCs w:val="18"/>
            <w:u w:val="single"/>
          </w:rPr>
          <w:t xml:space="preserve">alttechconsortium.in</w:t>
        </w:r>
      </w:hyperlink>
    </w:p>
    <w:p>
      <w:pPr>
        <w:tabs>
          <w:tab w:val="right" w:pos="10426"/>
        </w:tabs>
        <w:spacing w:after="14" w:line="224"/>
      </w:pPr>
      <w:r>
        <w:rPr>
          <w:rFonts w:ascii="Calibri" w:cs="Calibri" w:eastAsia="Calibri" w:hAnsi="Calibri"/>
          <w:b/>
          <w:bCs/>
          <w:color w:val="1A1A1A"/>
          <w:sz w:val="20"/>
          <w:szCs w:val="20"/>
        </w:rPr>
        <w:t xml:space="preserve">True &amp; Fair</w:t>
      </w:r>
      <w:r>
        <w:rPr>
          <w:rFonts w:ascii="Calibri" w:cs="Calibri" w:eastAsia="Calibri" w:hAnsi="Calibri"/>
          <w:color w:val="3D3D3D"/>
          <w:sz w:val="20"/>
          <w:szCs w:val="20"/>
        </w:rPr>
        <w:t xml:space="preserve">  ·  professional advisory and compliance services site</w:t>
      </w:r>
      <w:r>
        <w:rPr>
          <w:rFonts w:ascii="Calibri" w:cs="Calibri" w:eastAsia="Calibri" w:hAnsi="Calibri"/>
          <w:sz w:val="19"/>
          <w:szCs w:val="19"/>
        </w:rPr>
        <w:t xml:space="preserve">	</w:t>
      </w:r>
      <w:hyperlink w:history="1" r:id="rIdwgeqennsgtfnjjgsiyx44">
        <w:r>
          <w:rPr>
            <w:rFonts w:ascii="Calibri" w:cs="Calibri" w:eastAsia="Calibri" w:hAnsi="Calibri"/>
            <w:color w:val="2B5C8A"/>
            <w:sz w:val="18"/>
            <w:szCs w:val="18"/>
            <w:u w:val="single"/>
          </w:rPr>
          <w:t xml:space="preserve">trueandfair.pro</w:t>
        </w:r>
      </w:hyperlink>
    </w:p>
    <w:p>
      <w:pPr>
        <w:pStyle w:val="Heading1"/>
        <w:pBdr>
          <w:bottom w:val="single" w:color="8C8C8C" w:sz="6" w:space="2"/>
        </w:pBdr>
        <w:spacing w:after="11" w:before="108"/>
      </w:pPr>
      <w:r>
        <w:rPr>
          <w:rFonts w:ascii="Calibri" w:cs="Calibri" w:eastAsia="Calibri" w:hAnsi="Calibri"/>
          <w:b/>
          <w:bCs/>
          <w:color w:val="1A1A1A"/>
          <w:spacing w:val="40"/>
          <w:sz w:val="21"/>
          <w:szCs w:val="21"/>
        </w:rPr>
        <w:t xml:space="preserve">PERSONAL PROJECTS</w:t>
      </w:r>
    </w:p>
    <w:p>
      <w:pPr>
        <w:tabs>
          <w:tab w:val="right" w:pos="10426"/>
        </w:tabs>
        <w:spacing w:after="14" w:before="70"/>
      </w:pPr>
      <w:r>
        <w:rPr>
          <w:rFonts w:ascii="Calibri" w:cs="Calibri" w:eastAsia="Calibri" w:hAnsi="Calibri"/>
          <w:b/>
          <w:bCs/>
          <w:color w:val="1A1A1A"/>
          <w:sz w:val="20"/>
          <w:szCs w:val="20"/>
        </w:rPr>
        <w:t xml:space="preserve">My Bill — Expense Tracker</w:t>
      </w:r>
      <w:r>
        <w:rPr>
          <w:rFonts w:ascii="Calibri" w:cs="Calibri" w:eastAsia="Calibri" w:hAnsi="Calibri"/>
          <w:sz w:val="19"/>
          <w:szCs w:val="19"/>
        </w:rPr>
        <w:t xml:space="preserve">	</w:t>
      </w:r>
      <w:hyperlink w:history="1" r:id="rIdhb3adtvfvxduahnorsota">
        <w:r>
          <w:rPr>
            <w:rFonts w:ascii="Calibri" w:cs="Calibri" w:eastAsia="Calibri" w:hAnsi="Calibri"/>
            <w:color w:val="2B5C8A"/>
            <w:sz w:val="18"/>
            <w:szCs w:val="18"/>
            <w:u w:val="single"/>
          </w:rPr>
          <w:t xml:space="preserve">my-bill-gamma.vercel.app</w:t>
        </w:r>
      </w:hyperlink>
    </w:p>
    <w:p>
      <w:pPr>
        <w:pStyle w:val="ListParagraph"/>
        <w:numPr>
          <w:ilvl w:val="0"/>
          <w:numId w:val="2"/>
        </w:numPr>
        <w:spacing w:after="16" w:line="224"/>
      </w:pPr>
      <w:r>
        <w:rPr>
          <w:rFonts w:ascii="Calibri" w:cs="Calibri" w:eastAsia="Calibri" w:hAnsi="Calibri"/>
          <w:color w:val="1A1A1A"/>
          <w:sz w:val="20"/>
          <w:szCs w:val="20"/>
        </w:rPr>
        <w:t xml:space="preserve">Mobile-first expense tracker in Next.js 15, TypeScript and Tailwind CSS, designed and built end to end.</w:t>
      </w:r>
    </w:p>
    <w:p>
      <w:pPr>
        <w:pStyle w:val="ListParagraph"/>
        <w:numPr>
          <w:ilvl w:val="0"/>
          <w:numId w:val="2"/>
        </w:numPr>
        <w:spacing w:after="16" w:line="224"/>
      </w:pPr>
      <w:r>
        <w:rPr>
          <w:rFonts w:ascii="Calibri" w:cs="Calibri" w:eastAsia="Calibri" w:hAnsi="Calibri"/>
          <w:color w:val="1A1A1A"/>
          <w:sz w:val="20"/>
          <w:szCs w:val="20"/>
        </w:rPr>
        <w:t xml:space="preserve">Supabase Auth with PostgreSQL Row Level Security enforcing per-user isolation at the database layer; expense CRUD, dynamic categories, weekly and monthly Recharts analytics and an animated responsive UI with Framer Motion.</w:t>
      </w:r>
    </w:p>
    <w:p>
      <w:pPr>
        <w:tabs>
          <w:tab w:val="right" w:pos="10426"/>
        </w:tabs>
        <w:spacing w:after="14" w:before="70"/>
      </w:pPr>
      <w:r>
        <w:rPr>
          <w:rFonts w:ascii="Calibri" w:cs="Calibri" w:eastAsia="Calibri" w:hAnsi="Calibri"/>
          <w:b/>
          <w:bCs/>
          <w:color w:val="1A1A1A"/>
          <w:sz w:val="20"/>
          <w:szCs w:val="20"/>
        </w:rPr>
        <w:t xml:space="preserve">AI Case Review Analyzer</w:t>
      </w:r>
      <w:r>
        <w:rPr>
          <w:rFonts w:ascii="Calibri" w:cs="Calibri" w:eastAsia="Calibri" w:hAnsi="Calibri"/>
          <w:sz w:val="19"/>
          <w:szCs w:val="19"/>
        </w:rPr>
        <w:t xml:space="preserve">	</w:t>
      </w:r>
      <w:hyperlink w:history="1" r:id="rId2ljhifzpem01r6hztpc3d">
        <w:r>
          <w:rPr>
            <w:rFonts w:ascii="Calibri" w:cs="Calibri" w:eastAsia="Calibri" w:hAnsi="Calibri"/>
            <w:color w:val="2B5C8A"/>
            <w:sz w:val="18"/>
            <w:szCs w:val="18"/>
            <w:u w:val="single"/>
          </w:rPr>
          <w:t xml:space="preserve">casereview-theta.vercel.app</w:t>
        </w:r>
      </w:hyperlink>
    </w:p>
    <w:p>
      <w:pPr>
        <w:pStyle w:val="ListParagraph"/>
        <w:numPr>
          <w:ilvl w:val="0"/>
          <w:numId w:val="2"/>
        </w:numPr>
        <w:spacing w:after="16" w:line="224"/>
      </w:pPr>
      <w:r>
        <w:rPr>
          <w:rFonts w:ascii="Calibri" w:cs="Calibri" w:eastAsia="Calibri" w:hAnsi="Calibri"/>
          <w:color w:val="1A1A1A"/>
          <w:sz w:val="20"/>
          <w:szCs w:val="20"/>
        </w:rPr>
        <w:t xml:space="preserve">API-driven AI review workflows in NestJS using structured JSON schemas for model input and output, combined with rule-based suggestion logic for deterministic cases.</w:t>
      </w:r>
    </w:p>
    <w:p>
      <w:pPr>
        <w:pStyle w:val="ListParagraph"/>
        <w:numPr>
          <w:ilvl w:val="0"/>
          <w:numId w:val="2"/>
        </w:numPr>
        <w:spacing w:after="16" w:line="224"/>
      </w:pPr>
      <w:r>
        <w:rPr>
          <w:rFonts w:ascii="Calibri" w:cs="Calibri" w:eastAsia="Calibri" w:hAnsi="Calibri"/>
          <w:color w:val="1A1A1A"/>
          <w:sz w:val="20"/>
          <w:szCs w:val="20"/>
        </w:rPr>
        <w:t xml:space="preserve">Containerised with Docker and deployed on AWS, applying production practices to a self-directed AI integration project.</w:t>
      </w:r>
    </w:p>
    <w:p>
      <w:pPr>
        <w:pStyle w:val="Heading1"/>
        <w:pBdr>
          <w:bottom w:val="single" w:color="8C8C8C" w:sz="6" w:space="2"/>
        </w:pBdr>
        <w:spacing w:after="11" w:before="108"/>
      </w:pPr>
      <w:r>
        <w:rPr>
          <w:rFonts w:ascii="Calibri" w:cs="Calibri" w:eastAsia="Calibri" w:hAnsi="Calibri"/>
          <w:b/>
          <w:bCs/>
          <w:color w:val="1A1A1A"/>
          <w:spacing w:val="40"/>
          <w:sz w:val="21"/>
          <w:szCs w:val="21"/>
        </w:rPr>
        <w:t xml:space="preserve">EDUCATION &amp; TRAINING</w:t>
      </w:r>
    </w:p>
    <w:p>
      <w:pPr>
        <w:tabs>
          <w:tab w:val="right" w:pos="10426"/>
        </w:tabs>
        <w:spacing w:after="0" w:before="96"/>
      </w:pPr>
      <w:r>
        <w:rPr>
          <w:rFonts w:ascii="Calibri" w:cs="Calibri" w:eastAsia="Calibri" w:hAnsi="Calibri"/>
          <w:b/>
          <w:bCs/>
          <w:color w:val="1A1A1A"/>
          <w:sz w:val="21"/>
          <w:szCs w:val="21"/>
        </w:rPr>
        <w:t xml:space="preserve">Diploma in Computer Engineering — Model Polytechnic College, Vadakara  ·  CGPA 8.51 / 10.0</w:t>
      </w:r>
      <w:r>
        <w:rPr>
          <w:rFonts w:ascii="Calibri" w:cs="Calibri" w:eastAsia="Calibri" w:hAnsi="Calibri"/>
          <w:sz w:val="20"/>
          <w:szCs w:val="20"/>
        </w:rPr>
        <w:t xml:space="preserve">	</w:t>
      </w:r>
      <w:r>
        <w:rPr>
          <w:rFonts w:ascii="Calibri" w:cs="Calibri" w:eastAsia="Calibri" w:hAnsi="Calibri"/>
          <w:color w:val="555555"/>
          <w:sz w:val="19"/>
          <w:szCs w:val="19"/>
        </w:rPr>
        <w:t xml:space="preserve">2016 – 2019</w:t>
      </w:r>
    </w:p>
    <w:p>
      <w:pPr>
        <w:tabs>
          <w:tab w:val="right" w:pos="10426"/>
        </w:tabs>
        <w:spacing w:after="0" w:before="96"/>
      </w:pPr>
      <w:r>
        <w:rPr>
          <w:rFonts w:ascii="Calibri" w:cs="Calibri" w:eastAsia="Calibri" w:hAnsi="Calibri"/>
          <w:b/>
          <w:bCs/>
          <w:color w:val="1A1A1A"/>
          <w:sz w:val="21"/>
          <w:szCs w:val="21"/>
        </w:rPr>
        <w:t xml:space="preserve">Full Stack Web Development — Newton School, Bengaluru  ·  HTML, CSS, JavaScript, React</w:t>
      </w:r>
      <w:r>
        <w:rPr>
          <w:rFonts w:ascii="Calibri" w:cs="Calibri" w:eastAsia="Calibri" w:hAnsi="Calibri"/>
          <w:sz w:val="20"/>
          <w:szCs w:val="20"/>
        </w:rPr>
        <w:t xml:space="preserve">	</w:t>
      </w:r>
      <w:r>
        <w:rPr>
          <w:rFonts w:ascii="Calibri" w:cs="Calibri" w:eastAsia="Calibri" w:hAnsi="Calibri"/>
          <w:color w:val="555555"/>
          <w:sz w:val="19"/>
          <w:szCs w:val="19"/>
        </w:rPr>
        <w:t xml:space="preserve">2021 – 2022</w:t>
      </w:r>
    </w:p>
    <w:p>
      <w:pPr>
        <w:tabs>
          <w:tab w:val="right" w:pos="10426"/>
        </w:tabs>
        <w:spacing w:after="0" w:before="96"/>
      </w:pPr>
      <w:r>
        <w:rPr>
          <w:rFonts w:ascii="Calibri" w:cs="Calibri" w:eastAsia="Calibri" w:hAnsi="Calibri"/>
          <w:b/>
          <w:bCs/>
          <w:color w:val="1A1A1A"/>
          <w:sz w:val="21"/>
          <w:szCs w:val="21"/>
        </w:rPr>
        <w:t xml:space="preserve">Industrial Training in HTML &amp; PHP — RISS Technologies, Kochi  ·  PHP, Java, Python</w:t>
      </w:r>
      <w:r>
        <w:rPr>
          <w:rFonts w:ascii="Calibri" w:cs="Calibri" w:eastAsia="Calibri" w:hAnsi="Calibri"/>
          <w:sz w:val="20"/>
          <w:szCs w:val="20"/>
        </w:rPr>
        <w:t xml:space="preserve">	</w:t>
      </w:r>
      <w:r>
        <w:rPr>
          <w:rFonts w:ascii="Calibri" w:cs="Calibri" w:eastAsia="Calibri" w:hAnsi="Calibri"/>
          <w:color w:val="555555"/>
          <w:sz w:val="19"/>
          <w:szCs w:val="19"/>
        </w:rPr>
        <w:t xml:space="preserve">2018</w:t>
      </w:r>
    </w:p>
    <w:p>
      <w:pPr>
        <w:tabs>
          <w:tab w:val="right" w:pos="10426"/>
        </w:tabs>
        <w:spacing w:after="0" w:before="96"/>
      </w:pPr>
      <w:r>
        <w:rPr>
          <w:rFonts w:ascii="Calibri" w:cs="Calibri" w:eastAsia="Calibri" w:hAnsi="Calibri"/>
          <w:b/>
          <w:bCs/>
          <w:color w:val="1A1A1A"/>
          <w:sz w:val="21"/>
          <w:szCs w:val="21"/>
        </w:rPr>
        <w:t xml:space="preserve">Volunteer, Tech Fest — Model Polytechnic College, Vadakara</w:t>
      </w:r>
      <w:r>
        <w:rPr>
          <w:rFonts w:ascii="Calibri" w:cs="Calibri" w:eastAsia="Calibri" w:hAnsi="Calibri"/>
          <w:sz w:val="20"/>
          <w:szCs w:val="20"/>
        </w:rPr>
        <w:t xml:space="preserve">	</w:t>
      </w:r>
      <w:r>
        <w:rPr>
          <w:rFonts w:ascii="Calibri" w:cs="Calibri" w:eastAsia="Calibri" w:hAnsi="Calibri"/>
          <w:color w:val="555555"/>
          <w:sz w:val="19"/>
          <w:szCs w:val="19"/>
        </w:rPr>
        <w:t xml:space="preserve">2018</w:t>
      </w:r>
    </w:p>
    <w:sectPr>
      <w:pgSz w:w="11906" w:h="16838" w:orient="portrait"/>
      <w:pgMar w:top="560" w:right="740" w:bottom="440" w:left="7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1" w:before="108"/>
      <w:outlineLvl w:val="0"/>
    </w:pPr>
    <w:rPr>
      <w:rFonts w:ascii="Calibri" w:cs="Calibri" w:eastAsia="Calibri" w:hAnsi="Calibri"/>
      <w:b/>
      <w:bCs/>
      <w:color w:val="1A1A1A"/>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1x6xtvc5y-wkfolhs9y87" Type="http://schemas.openxmlformats.org/officeDocument/2006/relationships/hyperlink" Target="https://nkegroup.com" TargetMode="External"/><Relationship Id="rIdwoqdillhrr5fxam7kq57h" Type="http://schemas.openxmlformats.org/officeDocument/2006/relationships/hyperlink" Target="https://www.nirnaitech.ai" TargetMode="External"/><Relationship Id="rId5eqegvpymwjn2t_xqvv4e" Type="http://schemas.openxmlformats.org/officeDocument/2006/relationships/hyperlink" Target="https://www.bskilling.com" TargetMode="External"/><Relationship Id="rIdgxacsekp5nvxymfnjk5ey" Type="http://schemas.openxmlformats.org/officeDocument/2006/relationships/hyperlink" Target="https://www.sfjbs.com" TargetMode="External"/><Relationship Id="rIdyvt6dyr7ashzbwblml6qo" Type="http://schemas.openxmlformats.org/officeDocument/2006/relationships/hyperlink" Target="https://neosan.in" TargetMode="External"/><Relationship Id="rIdictbzt8ambf1vdebbdb4i" Type="http://schemas.openxmlformats.org/officeDocument/2006/relationships/hyperlink" Target="https://www.winfomi.com" TargetMode="External"/><Relationship Id="rIdxmuaewc5mmqckkf93whhr" Type="http://schemas.openxmlformats.org/officeDocument/2006/relationships/hyperlink" Target="https://www.madhurpharma.in" TargetMode="External"/><Relationship Id="rId0vdo0ykghv1sqohu1mlqm" Type="http://schemas.openxmlformats.org/officeDocument/2006/relationships/hyperlink" Target="https://www.alttechconsortium.in" TargetMode="External"/><Relationship Id="rIdwgeqennsgtfnjjgsiyx44" Type="http://schemas.openxmlformats.org/officeDocument/2006/relationships/hyperlink" Target="https://www.trueandfair.pro" TargetMode="External"/><Relationship Id="rIdhb3adtvfvxduahnorsota" Type="http://schemas.openxmlformats.org/officeDocument/2006/relationships/hyperlink" Target="https://my-bill-gamma.vercel.app" TargetMode="External"/><Relationship Id="rId2ljhifzpem01r6hztpc3d" Type="http://schemas.openxmlformats.org/officeDocument/2006/relationships/hyperlink" Target="https://casereview-theta.vercel.app" TargetMode="External"/><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Jeremia Sunny — Resume</dc:title>
  <dc:creator>Jeremia Sunny</dc:creator>
  <cp:lastModifiedBy>Un-named</cp:lastModifiedBy>
  <cp:revision>1</cp:revision>
  <dcterms:created xsi:type="dcterms:W3CDTF">2026-09-22T08:09:08.900Z</dcterms:created>
  <dcterms:modified xsi:type="dcterms:W3CDTF">2026-09-22T08:09:08.900Z</dcterms:modified>
</cp:coreProperties>
</file>

<file path=docProps/custom.xml><?xml version="1.0" encoding="utf-8"?>
<Properties xmlns="http://schemas.openxmlformats.org/officeDocument/2006/custom-properties" xmlns:vt="http://schemas.openxmlformats.org/officeDocument/2006/docPropsVTypes"/>
</file>