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Teaching and Learning Plan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Mathematics Learning Experience for Grade 1 (C1)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   </w:t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Teaching and Learning Plan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: Reading and Writing Numbers up to 100 in Symbols and Words (Interactive and Play-based)</w:t>
      </w:r>
    </w:p>
    <w:p w:rsidR="00000000" w:rsidDel="00000000" w:rsidP="00000000" w:rsidRDefault="00000000" w:rsidRPr="00000000" w14:paraId="00000007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Objective: By the end of this learning plan, learners will be able to read and write numbers up to 100 in both symbols and words through interactive and play-based activities.</w:t>
      </w:r>
    </w:p>
    <w:p w:rsidR="00000000" w:rsidDel="00000000" w:rsidP="00000000" w:rsidRDefault="00000000" w:rsidRPr="00000000" w14:paraId="00000008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Duration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: This teaching and learning plan is designed to span over several sessions, depending on the needs and progress of the learners. Each session should be approximately 45-60 minutes.</w:t>
      </w:r>
    </w:p>
    <w:p w:rsidR="00000000" w:rsidDel="00000000" w:rsidP="00000000" w:rsidRDefault="00000000" w:rsidRPr="00000000" w14:paraId="00000009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Session 1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: Introduction to Numbers 0-20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Start the session with a brief discussion about the importance of numbers and how they are used in our daily lives.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Introduce numbers 0-20 using visuals, flashcards, or number charts.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Engage the learners in a fun counting game or activity, such as a number scavenger hunt or a counting song.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Provide opportunities for learners to practice writing numbers 0-20 using interactive tools like mini whiteboards, sand trays, or digital drawing apps.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Conduct a group activity where learners take turns reading numbers aloud and writing them on the board.</w:t>
      </w:r>
    </w:p>
    <w:p w:rsidR="00000000" w:rsidDel="00000000" w:rsidP="00000000" w:rsidRDefault="00000000" w:rsidRPr="00000000" w14:paraId="0000000F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Session 2: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Exploring Numbers 21-50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Review numbers 0-20 briefly to reinforce learning from the previous session.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Introduce numbers 21-50 using a number line or other visual aids.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Engage learners in interactive games like "Number Bingo" or "Number Memory" to practice recognizing and matching numbers.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Encourage learners to write numbers 21-50 using manipulatives like playdough or pipe cleaners.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Provide worksheets or activity sheets where learners can fill in missing numbers, complete number patterns, or solve simple number-related puzzles.</w:t>
      </w:r>
    </w:p>
    <w:p w:rsidR="00000000" w:rsidDel="00000000" w:rsidP="00000000" w:rsidRDefault="00000000" w:rsidRPr="00000000" w14:paraId="00000015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Session 3: Mastering Numbers 51-100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Begin the session with a quick recap of numbers 0-50 to refresh learners' memory.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Introduce numbers 51-100 using visual representations, such as base ten blocks or place value charts.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Engage learners in a group activity where they work together to create a human number line, with each learner holding a card displaying a specific number.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Provide interactive online games or apps that allow learners to practice reading and writing numbers 51-100 in a playful manner (optional).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Assign a project-based task where learners create their own number chart or booklet using both symbols and words. They can decorate it creatively and showcase it to the class.</w:t>
      </w:r>
    </w:p>
    <w:p w:rsidR="00000000" w:rsidDel="00000000" w:rsidP="00000000" w:rsidRDefault="00000000" w:rsidRPr="00000000" w14:paraId="0000001B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Session 4: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Consolidation and Review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Begin the session with a quick review of numbers 0-100 using flashcards or a number grid.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Conduct a fun "Number Olympics" activity where learners participate in various number-related challenges, such as speed counting, number ordering, or identifying missing numbers.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Provide opportunities for learners to engage in partner activities, such as playing "Number Detective" where they take turns giving clues to identify a specific number.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Assess learners' progress through individual or group exercises, such as writing numbers dictated by the teacher or completing number-related worksheets.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Conclude the session with a reflection activity, where learners share their favorite number-related game or activity from the learning plan.</w:t>
      </w:r>
    </w:p>
    <w:p w:rsidR="00000000" w:rsidDel="00000000" w:rsidP="00000000" w:rsidRDefault="00000000" w:rsidRPr="00000000" w14:paraId="00000021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Throughout the learning plan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Incorporate multisensory approaches, such as using manipulatives, visuals, and interactive digital resources, to cater to different learning styles.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Encourage active participation and collaboration among learners through group activities and games.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Provide regular opportunities for learners to practice reading and writing numbers in both symbols and words.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Offer positive reinforcement and praise learners' efforts and progress.</w:t>
      </w:r>
    </w:p>
    <w:p w:rsidR="00000000" w:rsidDel="00000000" w:rsidP="00000000" w:rsidRDefault="00000000" w:rsidRPr="00000000" w14:paraId="00000026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Note: It is important to adapt and modify the teaching and learning plan based on the specific needs and abilities of your learners.</w:t>
      </w:r>
    </w:p>
    <w:p w:rsidR="00000000" w:rsidDel="00000000" w:rsidP="00000000" w:rsidRDefault="00000000" w:rsidRPr="00000000" w14:paraId="00000027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4409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SwcvHe5a3YWw3WGPwtkpJqjf/A==">CgMxLjAyCGguZ2pkZ3hzOAByITFVQVdWbXZEWGFQMEtLUlFaUDBXYVRGTmFKU0JBQTRHTg==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2023-06-28T02:02:00Z</dcterms:created>
  <dc:creator>xyphr</dc:creator>
</cp:coreProperties>
</file>