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B9BD5" w:themeColor="accent1"/>
  <w:body>
    <w:p w:rsidR="007E6903" w:rsidRDefault="007E6903" w:rsidP="007E6903">
      <w:pPr>
        <w:jc w:val="center"/>
        <w:rPr>
          <w:rFonts w:ascii="Arial" w:hAnsi="Arial" w:cs="Arial"/>
          <w:sz w:val="44"/>
          <w:szCs w:val="24"/>
        </w:rPr>
      </w:pPr>
      <w:r>
        <w:rPr>
          <w:rFonts w:ascii="Arial" w:hAnsi="Arial" w:cs="Arial"/>
          <w:sz w:val="44"/>
          <w:szCs w:val="24"/>
        </w:rPr>
        <w:t>PROYECTO INTEGRADOR</w:t>
      </w:r>
    </w:p>
    <w:p w:rsidR="007E6903" w:rsidRDefault="007E6903" w:rsidP="007E6903">
      <w:pPr>
        <w:jc w:val="center"/>
        <w:rPr>
          <w:rFonts w:ascii="Arial" w:hAnsi="Arial" w:cs="Arial"/>
          <w:sz w:val="44"/>
          <w:szCs w:val="24"/>
        </w:rPr>
      </w:pPr>
      <w:r>
        <w:rPr>
          <w:rFonts w:ascii="Arial" w:hAnsi="Arial" w:cs="Arial"/>
          <w:sz w:val="44"/>
          <w:szCs w:val="24"/>
        </w:rPr>
        <w:t xml:space="preserve">AVANCE </w:t>
      </w:r>
      <w:r>
        <w:rPr>
          <w:rFonts w:ascii="Arial" w:hAnsi="Arial" w:cs="Arial"/>
          <w:sz w:val="44"/>
          <w:szCs w:val="24"/>
        </w:rPr>
        <w:t>2</w:t>
      </w:r>
    </w:p>
    <w:p w:rsidR="007E6903" w:rsidRDefault="007E6903" w:rsidP="007E690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Limpieza y optimización de consultas</w:t>
      </w:r>
      <w:r>
        <w:rPr>
          <w:rFonts w:ascii="Arial" w:hAnsi="Arial" w:cs="Arial"/>
          <w:sz w:val="24"/>
          <w:szCs w:val="24"/>
        </w:rPr>
        <w:t xml:space="preserve"> SQL</w:t>
      </w:r>
    </w:p>
    <w:p w:rsidR="007E6903" w:rsidRDefault="007E6903" w:rsidP="007E6903">
      <w:pPr>
        <w:jc w:val="both"/>
        <w:rPr>
          <w:rFonts w:ascii="Arial" w:hAnsi="Arial" w:cs="Arial"/>
          <w:sz w:val="24"/>
          <w:szCs w:val="24"/>
        </w:rPr>
      </w:pPr>
    </w:p>
    <w:p w:rsidR="007E6903" w:rsidRDefault="007E6903" w:rsidP="007E6903">
      <w:pPr>
        <w:jc w:val="both"/>
        <w:rPr>
          <w:rFonts w:ascii="Arial" w:hAnsi="Arial" w:cs="Arial"/>
          <w:sz w:val="24"/>
          <w:szCs w:val="24"/>
        </w:rPr>
      </w:pPr>
    </w:p>
    <w:p w:rsidR="007E6903" w:rsidRDefault="007E6903" w:rsidP="0047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CONSIGNA:</w:t>
      </w:r>
    </w:p>
    <w:p w:rsidR="007E6903" w:rsidRDefault="007E6903" w:rsidP="0047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 un script SQL completo con las consultas desarrolladas:</w:t>
      </w:r>
    </w:p>
    <w:p w:rsidR="007E6903" w:rsidRDefault="007E6903" w:rsidP="0047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Junto con un documento donde muestres los resultados obtenidos (mediante capturas de pantalla) y agregues una breve interpretación o comentario para cada uno</w:t>
      </w:r>
      <w:r>
        <w:rPr>
          <w:rFonts w:ascii="Arial" w:hAnsi="Arial" w:cs="Arial"/>
          <w:sz w:val="24"/>
          <w:szCs w:val="24"/>
        </w:rPr>
        <w:t>.</w:t>
      </w:r>
    </w:p>
    <w:p w:rsidR="007E6903" w:rsidRDefault="007E6903" w:rsidP="00476C2C">
      <w:pPr>
        <w:jc w:val="both"/>
        <w:rPr>
          <w:rFonts w:ascii="Arial" w:hAnsi="Arial" w:cs="Arial"/>
          <w:sz w:val="24"/>
          <w:szCs w:val="24"/>
        </w:rPr>
      </w:pPr>
    </w:p>
    <w:p w:rsidR="007E6903" w:rsidRDefault="007E6903" w:rsidP="00476C2C">
      <w:pPr>
        <w:jc w:val="both"/>
        <w:rPr>
          <w:rFonts w:ascii="Arial" w:hAnsi="Arial" w:cs="Arial"/>
          <w:sz w:val="24"/>
          <w:szCs w:val="24"/>
        </w:rPr>
      </w:pPr>
    </w:p>
    <w:p w:rsidR="007E6903" w:rsidRDefault="007E6903" w:rsidP="0047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TRIGGER</w:t>
      </w:r>
    </w:p>
    <w:p w:rsidR="0083040A" w:rsidRDefault="007E6903" w:rsidP="0047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 un </w:t>
      </w:r>
      <w:proofErr w:type="spellStart"/>
      <w:r>
        <w:rPr>
          <w:rFonts w:ascii="Arial" w:hAnsi="Arial" w:cs="Arial"/>
          <w:sz w:val="24"/>
          <w:szCs w:val="24"/>
        </w:rPr>
        <w:t>trigger</w:t>
      </w:r>
      <w:proofErr w:type="spellEnd"/>
      <w:r>
        <w:rPr>
          <w:rFonts w:ascii="Arial" w:hAnsi="Arial" w:cs="Arial"/>
          <w:sz w:val="24"/>
          <w:szCs w:val="24"/>
        </w:rPr>
        <w:t xml:space="preserve"> que registre en una tabla de monitoreo cada vez que un producto supere las 200,000 unidades vendidas acumuladas.</w:t>
      </w:r>
    </w:p>
    <w:p w:rsidR="007E6903" w:rsidRDefault="007E6903" w:rsidP="0047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trigger</w:t>
      </w:r>
      <w:proofErr w:type="spellEnd"/>
      <w:r>
        <w:rPr>
          <w:rFonts w:ascii="Arial" w:hAnsi="Arial" w:cs="Arial"/>
          <w:sz w:val="24"/>
          <w:szCs w:val="24"/>
        </w:rPr>
        <w:t xml:space="preserve"> debe activarse después de insertar una nueva venta y registrar en la tabla el ID del producto, su nombre, la nueva cantidad total de unidades vendidas, y la fecha en que se superó el umbral.</w:t>
      </w:r>
    </w:p>
    <w:p w:rsidR="007E6903" w:rsidRDefault="007E6903" w:rsidP="00476C2C">
      <w:pPr>
        <w:jc w:val="both"/>
        <w:rPr>
          <w:rFonts w:ascii="Arial" w:hAnsi="Arial" w:cs="Arial"/>
          <w:sz w:val="24"/>
          <w:szCs w:val="24"/>
        </w:rPr>
      </w:pPr>
    </w:p>
    <w:p w:rsidR="007E6903" w:rsidRDefault="007E6903" w:rsidP="0047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</w:t>
      </w:r>
    </w:p>
    <w:p w:rsidR="007E6903" w:rsidRDefault="007E6903" w:rsidP="0047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 una venta correspondiente al vendedor con ID 9, al cliente con ID 84, del producto con ID 103, por una cantidad de 1,876 unidades y un valor de 1200 unidades.</w:t>
      </w:r>
    </w:p>
    <w:p w:rsidR="007E6903" w:rsidRPr="007E6903" w:rsidRDefault="007E6903" w:rsidP="0047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la tabla de monitoreo, toma captura de los resultados y realiza un análisis breve de lo ocurrido.</w:t>
      </w:r>
    </w:p>
    <w:p w:rsidR="007E6903" w:rsidRPr="007E6903" w:rsidRDefault="007E6903" w:rsidP="007E6903">
      <w:pPr>
        <w:rPr>
          <w:rFonts w:ascii="Arial" w:hAnsi="Arial" w:cs="Arial"/>
          <w:sz w:val="24"/>
          <w:szCs w:val="24"/>
        </w:rPr>
      </w:pPr>
    </w:p>
    <w:p w:rsidR="007E6903" w:rsidRPr="007E6903" w:rsidRDefault="007E6903" w:rsidP="007E6903">
      <w:pPr>
        <w:jc w:val="center"/>
        <w:rPr>
          <w:rFonts w:ascii="Arial" w:hAnsi="Arial" w:cs="Arial"/>
          <w:sz w:val="24"/>
          <w:szCs w:val="24"/>
        </w:rPr>
      </w:pPr>
      <w:r w:rsidRPr="007E6903">
        <w:rPr>
          <w:rFonts w:ascii="Arial" w:hAnsi="Arial" w:cs="Arial"/>
          <w:sz w:val="24"/>
          <w:szCs w:val="24"/>
        </w:rPr>
        <w:t>Registro de la venta:</w:t>
      </w:r>
    </w:p>
    <w:p w:rsidR="007E6903" w:rsidRPr="007E6903" w:rsidRDefault="007E6903" w:rsidP="007E6903">
      <w:pPr>
        <w:rPr>
          <w:rFonts w:ascii="Arial" w:hAnsi="Arial" w:cs="Arial"/>
          <w:sz w:val="24"/>
          <w:szCs w:val="24"/>
        </w:rPr>
      </w:pPr>
      <w:r w:rsidRPr="007E6903">
        <w:rPr>
          <w:rFonts w:ascii="Arial" w:hAnsi="Arial" w:cs="Arial"/>
          <w:sz w:val="24"/>
          <w:szCs w:val="24"/>
        </w:rPr>
        <w:drawing>
          <wp:inline distT="0" distB="0" distL="0" distR="0" wp14:anchorId="6E0ECF1C" wp14:editId="2DA9F197">
            <wp:extent cx="5612130" cy="3308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03" w:rsidRPr="007E6903" w:rsidRDefault="007E6903" w:rsidP="007E6903">
      <w:pPr>
        <w:rPr>
          <w:rFonts w:ascii="Arial" w:hAnsi="Arial" w:cs="Arial"/>
          <w:sz w:val="24"/>
          <w:szCs w:val="24"/>
        </w:rPr>
      </w:pPr>
    </w:p>
    <w:p w:rsidR="007E6903" w:rsidRDefault="007E6903" w:rsidP="007E6903">
      <w:pPr>
        <w:jc w:val="center"/>
        <w:rPr>
          <w:rFonts w:ascii="Arial" w:hAnsi="Arial" w:cs="Arial"/>
          <w:sz w:val="24"/>
          <w:szCs w:val="24"/>
        </w:rPr>
      </w:pPr>
      <w:r w:rsidRPr="007E6903">
        <w:rPr>
          <w:rFonts w:ascii="Arial" w:hAnsi="Arial" w:cs="Arial"/>
          <w:sz w:val="24"/>
          <w:szCs w:val="24"/>
        </w:rPr>
        <w:t xml:space="preserve">Registro </w:t>
      </w:r>
      <w:r>
        <w:rPr>
          <w:rFonts w:ascii="Arial" w:hAnsi="Arial" w:cs="Arial"/>
          <w:sz w:val="24"/>
          <w:szCs w:val="24"/>
        </w:rPr>
        <w:t xml:space="preserve">automático </w:t>
      </w:r>
      <w:r w:rsidRPr="007E6903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>la tabla monitoreo:</w:t>
      </w:r>
    </w:p>
    <w:p w:rsidR="007E6903" w:rsidRDefault="007E6903" w:rsidP="007E6903">
      <w:pPr>
        <w:jc w:val="center"/>
        <w:rPr>
          <w:rFonts w:ascii="Arial" w:hAnsi="Arial" w:cs="Arial"/>
          <w:sz w:val="24"/>
          <w:szCs w:val="24"/>
        </w:rPr>
      </w:pPr>
      <w:r w:rsidRPr="007E690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D235DD5" wp14:editId="658C2575">
            <wp:extent cx="5612130" cy="6889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03" w:rsidRDefault="007E6903" w:rsidP="007E6903">
      <w:pPr>
        <w:jc w:val="center"/>
        <w:rPr>
          <w:rFonts w:ascii="Arial" w:hAnsi="Arial" w:cs="Arial"/>
          <w:sz w:val="24"/>
          <w:szCs w:val="24"/>
        </w:rPr>
      </w:pPr>
    </w:p>
    <w:p w:rsidR="007E6903" w:rsidRDefault="007E6903" w:rsidP="007E690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Análisis:</w:t>
      </w:r>
    </w:p>
    <w:p w:rsidR="00476C2C" w:rsidRDefault="007E6903" w:rsidP="00476C2C">
      <w:pPr>
        <w:jc w:val="both"/>
        <w:rPr>
          <w:rFonts w:ascii="Arial" w:hAnsi="Arial" w:cs="Arial"/>
          <w:sz w:val="24"/>
          <w:szCs w:val="24"/>
        </w:rPr>
      </w:pPr>
      <w:r w:rsidRPr="007E6903">
        <w:rPr>
          <w:rFonts w:ascii="Arial" w:hAnsi="Arial" w:cs="Arial"/>
          <w:sz w:val="24"/>
          <w:szCs w:val="24"/>
        </w:rPr>
        <w:t xml:space="preserve">El sistema implementado consiste en la creación de una tabla de monitoreo con campos auto-incrementales compatibles con </w:t>
      </w:r>
      <w:proofErr w:type="spellStart"/>
      <w:r w:rsidRPr="007E6903">
        <w:rPr>
          <w:rFonts w:ascii="Arial" w:hAnsi="Arial" w:cs="Arial"/>
          <w:sz w:val="24"/>
          <w:szCs w:val="24"/>
        </w:rPr>
        <w:t>SQLite</w:t>
      </w:r>
      <w:proofErr w:type="spellEnd"/>
      <w:r w:rsidRPr="007E6903">
        <w:rPr>
          <w:rFonts w:ascii="Arial" w:hAnsi="Arial" w:cs="Arial"/>
          <w:sz w:val="24"/>
          <w:szCs w:val="24"/>
        </w:rPr>
        <w:t xml:space="preserve">, seguida de un </w:t>
      </w:r>
      <w:proofErr w:type="spellStart"/>
      <w:r w:rsidRPr="007E6903">
        <w:rPr>
          <w:rFonts w:ascii="Arial" w:hAnsi="Arial" w:cs="Arial"/>
          <w:sz w:val="24"/>
          <w:szCs w:val="24"/>
        </w:rPr>
        <w:t>trigger</w:t>
      </w:r>
      <w:proofErr w:type="spellEnd"/>
      <w:r w:rsidRPr="007E6903">
        <w:rPr>
          <w:rFonts w:ascii="Arial" w:hAnsi="Arial" w:cs="Arial"/>
          <w:sz w:val="24"/>
          <w:szCs w:val="24"/>
        </w:rPr>
        <w:t xml:space="preserve"> automático que se ejecuta después de cada inserción en la tabla `sales`. Cuando se inserta una nueva venta, el </w:t>
      </w:r>
      <w:proofErr w:type="spellStart"/>
      <w:r w:rsidRPr="007E6903">
        <w:rPr>
          <w:rFonts w:ascii="Arial" w:hAnsi="Arial" w:cs="Arial"/>
          <w:sz w:val="24"/>
          <w:szCs w:val="24"/>
        </w:rPr>
        <w:t>trigger</w:t>
      </w:r>
      <w:proofErr w:type="spellEnd"/>
      <w:r w:rsidRPr="007E6903">
        <w:rPr>
          <w:rFonts w:ascii="Arial" w:hAnsi="Arial" w:cs="Arial"/>
          <w:sz w:val="24"/>
          <w:szCs w:val="24"/>
        </w:rPr>
        <w:t xml:space="preserve"> evalúa automáticamente si el producto vendido cumple con dos condiciones específicas: que la suma total de cantidades vendidas para ese producto supere las 200,000 unidades y que dicho producto no exista previamente en la tabla de monitoreo. Si ambas condiciones se cumplen, el </w:t>
      </w:r>
      <w:proofErr w:type="spellStart"/>
      <w:r w:rsidRPr="007E6903">
        <w:rPr>
          <w:rFonts w:ascii="Arial" w:hAnsi="Arial" w:cs="Arial"/>
          <w:sz w:val="24"/>
          <w:szCs w:val="24"/>
        </w:rPr>
        <w:t>trigger</w:t>
      </w:r>
      <w:proofErr w:type="spellEnd"/>
      <w:r w:rsidRPr="007E6903">
        <w:rPr>
          <w:rFonts w:ascii="Arial" w:hAnsi="Arial" w:cs="Arial"/>
          <w:sz w:val="24"/>
          <w:szCs w:val="24"/>
        </w:rPr>
        <w:t xml:space="preserve"> ejecuta automáticamente un INSERT en la tabla `monitoreo`, registrando el ID del producto, su nombre, el total vendido acumulado y la fecha de registro actual, creando así un sistema de alerta automática que identifica productos con altos volúmenes de venta sin intervención manual.</w:t>
      </w:r>
      <w:r w:rsidR="00476C2C">
        <w:rPr>
          <w:rFonts w:ascii="Arial" w:hAnsi="Arial" w:cs="Arial"/>
          <w:sz w:val="24"/>
          <w:szCs w:val="24"/>
        </w:rPr>
        <w:t xml:space="preserve"> En este caso se realizó un registro exitoso con los datos: </w:t>
      </w:r>
      <w:r w:rsidR="00476C2C">
        <w:rPr>
          <w:rFonts w:ascii="Arial" w:hAnsi="Arial" w:cs="Arial"/>
          <w:sz w:val="24"/>
          <w:szCs w:val="24"/>
        </w:rPr>
        <w:t>vendedor con ID 9, cliente con ID 84, producto con ID 103, cantidad de 1,876 unidades y un valor de 1200 unidades.</w:t>
      </w:r>
    </w:p>
    <w:p w:rsidR="00476C2C" w:rsidRDefault="00476C2C" w:rsidP="00476C2C">
      <w:pPr>
        <w:jc w:val="both"/>
        <w:rPr>
          <w:rFonts w:ascii="Arial" w:hAnsi="Arial" w:cs="Arial"/>
          <w:sz w:val="24"/>
          <w:szCs w:val="24"/>
        </w:rPr>
      </w:pPr>
    </w:p>
    <w:p w:rsidR="00476C2C" w:rsidRDefault="00476C2C" w:rsidP="0047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OPTIMIZACIÓN</w:t>
      </w:r>
    </w:p>
    <w:p w:rsidR="00476C2C" w:rsidRDefault="00476C2C" w:rsidP="0047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 dos consultas del avance 1 y crea los índices que consideres más adecuados para optimizar su ejecución.</w:t>
      </w:r>
    </w:p>
    <w:p w:rsidR="00476C2C" w:rsidRDefault="00476C2C" w:rsidP="0047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 con índices individuales y compuestos, según la lógica de cada consulta. Luego, vuelve a ejecutar ambas consultas y compara los tiempos de ejecución antes y después de aplicar los índices. Finalmente, describe brevemente el impacto que tuvieron los índices en el rendimiento y en qué tipo de columnas resultan más efectivos para este tipo de operaciones.</w:t>
      </w:r>
    </w:p>
    <w:p w:rsidR="00007463" w:rsidRDefault="00007463" w:rsidP="00476C2C">
      <w:pPr>
        <w:jc w:val="both"/>
        <w:rPr>
          <w:rFonts w:ascii="Arial" w:hAnsi="Arial" w:cs="Arial"/>
          <w:sz w:val="24"/>
          <w:szCs w:val="24"/>
        </w:rPr>
      </w:pPr>
    </w:p>
    <w:p w:rsidR="00007463" w:rsidRDefault="00007463" w:rsidP="000074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Primera consulta (Sin índices) – tiempo 9s:</w:t>
      </w:r>
    </w:p>
    <w:p w:rsidR="00007463" w:rsidRDefault="00007463" w:rsidP="00476C2C">
      <w:pPr>
        <w:jc w:val="both"/>
        <w:rPr>
          <w:rFonts w:ascii="Arial" w:hAnsi="Arial" w:cs="Arial"/>
          <w:sz w:val="24"/>
          <w:szCs w:val="24"/>
        </w:rPr>
      </w:pPr>
      <w:r w:rsidRPr="0000746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D864E56" wp14:editId="602EB3B6">
            <wp:extent cx="5612130" cy="22098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2C" w:rsidRDefault="00476C2C" w:rsidP="00476C2C">
      <w:pPr>
        <w:jc w:val="both"/>
        <w:rPr>
          <w:rFonts w:ascii="Arial" w:hAnsi="Arial" w:cs="Arial"/>
          <w:sz w:val="24"/>
          <w:szCs w:val="24"/>
        </w:rPr>
      </w:pPr>
    </w:p>
    <w:p w:rsidR="00007463" w:rsidRDefault="00007463" w:rsidP="000074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Primera consulta (</w:t>
      </w:r>
      <w:r>
        <w:rPr>
          <w:rFonts w:ascii="Arial" w:hAnsi="Arial" w:cs="Arial"/>
          <w:sz w:val="24"/>
          <w:szCs w:val="24"/>
        </w:rPr>
        <w:t>Con índice</w:t>
      </w:r>
      <w:r>
        <w:rPr>
          <w:rFonts w:ascii="Arial" w:hAnsi="Arial" w:cs="Arial"/>
          <w:sz w:val="24"/>
          <w:szCs w:val="24"/>
        </w:rPr>
        <w:t xml:space="preserve">) – tiempo </w:t>
      </w: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>9s:</w:t>
      </w:r>
    </w:p>
    <w:p w:rsidR="00476C2C" w:rsidRDefault="00007463" w:rsidP="00476C2C">
      <w:pPr>
        <w:jc w:val="both"/>
        <w:rPr>
          <w:rFonts w:ascii="Arial" w:hAnsi="Arial" w:cs="Arial"/>
          <w:sz w:val="24"/>
          <w:szCs w:val="24"/>
        </w:rPr>
      </w:pPr>
      <w:r w:rsidRPr="00007463">
        <w:rPr>
          <w:rFonts w:ascii="Arial" w:hAnsi="Arial" w:cs="Arial"/>
          <w:sz w:val="24"/>
          <w:szCs w:val="24"/>
        </w:rPr>
        <w:drawing>
          <wp:inline distT="0" distB="0" distL="0" distR="0" wp14:anchorId="3FCA1729" wp14:editId="1461A945">
            <wp:extent cx="5612130" cy="21844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03" w:rsidRDefault="007E6903" w:rsidP="00476C2C">
      <w:pPr>
        <w:jc w:val="both"/>
        <w:rPr>
          <w:rFonts w:ascii="Arial" w:hAnsi="Arial" w:cs="Arial"/>
          <w:sz w:val="24"/>
          <w:szCs w:val="24"/>
        </w:rPr>
      </w:pPr>
    </w:p>
    <w:p w:rsidR="00476C2C" w:rsidRDefault="0096775C" w:rsidP="000074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Segunda</w:t>
      </w:r>
      <w:r w:rsidR="00007463">
        <w:rPr>
          <w:rFonts w:ascii="Arial" w:hAnsi="Arial" w:cs="Arial"/>
          <w:sz w:val="24"/>
          <w:szCs w:val="24"/>
        </w:rPr>
        <w:t xml:space="preserve"> consulta (Sin índices) – tiempo </w:t>
      </w:r>
      <w:r>
        <w:rPr>
          <w:rFonts w:ascii="Arial" w:hAnsi="Arial" w:cs="Arial"/>
          <w:sz w:val="24"/>
          <w:szCs w:val="24"/>
        </w:rPr>
        <w:t>5.1</w:t>
      </w:r>
      <w:r w:rsidR="00007463">
        <w:rPr>
          <w:rFonts w:ascii="Arial" w:hAnsi="Arial" w:cs="Arial"/>
          <w:sz w:val="24"/>
          <w:szCs w:val="24"/>
        </w:rPr>
        <w:t>s:</w:t>
      </w:r>
    </w:p>
    <w:p w:rsidR="0096775C" w:rsidRDefault="0096775C" w:rsidP="00007463">
      <w:pPr>
        <w:jc w:val="center"/>
        <w:rPr>
          <w:rFonts w:ascii="Arial" w:hAnsi="Arial" w:cs="Arial"/>
          <w:sz w:val="24"/>
          <w:szCs w:val="24"/>
        </w:rPr>
      </w:pPr>
      <w:r w:rsidRPr="0096775C">
        <w:rPr>
          <w:rFonts w:ascii="Arial" w:hAnsi="Arial" w:cs="Arial"/>
          <w:sz w:val="24"/>
          <w:szCs w:val="24"/>
        </w:rPr>
        <w:drawing>
          <wp:inline distT="0" distB="0" distL="0" distR="0" wp14:anchorId="39184AEB" wp14:editId="0F349939">
            <wp:extent cx="5612130" cy="18688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5C" w:rsidRDefault="0096775C" w:rsidP="00007463">
      <w:pPr>
        <w:jc w:val="center"/>
        <w:rPr>
          <w:rFonts w:ascii="Arial" w:hAnsi="Arial" w:cs="Arial"/>
          <w:sz w:val="24"/>
          <w:szCs w:val="24"/>
        </w:rPr>
      </w:pPr>
    </w:p>
    <w:p w:rsidR="0096775C" w:rsidRDefault="0096775C" w:rsidP="000074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Segunda consulta (</w:t>
      </w:r>
      <w:r>
        <w:rPr>
          <w:rFonts w:ascii="Arial" w:hAnsi="Arial" w:cs="Arial"/>
          <w:sz w:val="24"/>
          <w:szCs w:val="24"/>
        </w:rPr>
        <w:t>Con</w:t>
      </w:r>
      <w:r>
        <w:rPr>
          <w:rFonts w:ascii="Arial" w:hAnsi="Arial" w:cs="Arial"/>
          <w:sz w:val="24"/>
          <w:szCs w:val="24"/>
        </w:rPr>
        <w:t xml:space="preserve"> índices) – tiempo </w:t>
      </w:r>
      <w:r>
        <w:rPr>
          <w:rFonts w:ascii="Arial" w:hAnsi="Arial" w:cs="Arial"/>
          <w:sz w:val="24"/>
          <w:szCs w:val="24"/>
        </w:rPr>
        <w:t>4.8</w:t>
      </w:r>
      <w:r>
        <w:rPr>
          <w:rFonts w:ascii="Arial" w:hAnsi="Arial" w:cs="Arial"/>
          <w:sz w:val="24"/>
          <w:szCs w:val="24"/>
        </w:rPr>
        <w:t>s:</w:t>
      </w:r>
    </w:p>
    <w:p w:rsidR="007E6903" w:rsidRDefault="0096775C" w:rsidP="007E6903">
      <w:pPr>
        <w:rPr>
          <w:rFonts w:ascii="Arial" w:hAnsi="Arial" w:cs="Arial"/>
          <w:sz w:val="24"/>
          <w:szCs w:val="24"/>
        </w:rPr>
      </w:pPr>
      <w:r w:rsidRPr="0096775C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122A383" wp14:editId="3D322688">
            <wp:extent cx="5612130" cy="18954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03" w:rsidRDefault="007E6903" w:rsidP="007E6903">
      <w:pPr>
        <w:rPr>
          <w:rFonts w:ascii="Arial" w:hAnsi="Arial" w:cs="Arial"/>
          <w:sz w:val="24"/>
          <w:szCs w:val="24"/>
        </w:rPr>
      </w:pPr>
    </w:p>
    <w:p w:rsidR="0096775C" w:rsidRDefault="0096775C" w:rsidP="0096775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Comparación:</w:t>
      </w:r>
    </w:p>
    <w:tbl>
      <w:tblPr>
        <w:tblW w:w="8145" w:type="dxa"/>
        <w:jc w:val="center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shd w:val="clear" w:color="auto" w:fill="191C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1721"/>
        <w:gridCol w:w="1817"/>
        <w:gridCol w:w="2070"/>
      </w:tblGrid>
      <w:tr w:rsidR="0096775C" w:rsidRPr="0096775C" w:rsidTr="0096775C">
        <w:trPr>
          <w:tblHeader/>
          <w:jc w:val="center"/>
        </w:trPr>
        <w:tc>
          <w:tcPr>
            <w:tcW w:w="0" w:type="auto"/>
            <w:shd w:val="clear" w:color="auto" w:fill="191C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75C" w:rsidRPr="0096775C" w:rsidRDefault="0096775C" w:rsidP="0096775C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color w:val="7B88A1"/>
                <w:sz w:val="20"/>
                <w:szCs w:val="20"/>
                <w:lang w:eastAsia="es-MX"/>
              </w:rPr>
            </w:pPr>
            <w:r w:rsidRPr="0096775C">
              <w:rPr>
                <w:rFonts w:ascii="Segoe UI" w:eastAsia="Times New Roman" w:hAnsi="Segoe UI" w:cs="Segoe UI"/>
                <w:b/>
                <w:bCs/>
                <w:color w:val="7B88A1"/>
                <w:sz w:val="20"/>
                <w:szCs w:val="20"/>
                <w:lang w:eastAsia="es-MX"/>
              </w:rPr>
              <w:t>Consulta</w:t>
            </w:r>
          </w:p>
        </w:tc>
        <w:tc>
          <w:tcPr>
            <w:tcW w:w="0" w:type="auto"/>
            <w:shd w:val="clear" w:color="auto" w:fill="191C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75C" w:rsidRPr="0096775C" w:rsidRDefault="0096775C" w:rsidP="0096775C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color w:val="7B88A1"/>
                <w:sz w:val="20"/>
                <w:szCs w:val="20"/>
                <w:lang w:eastAsia="es-MX"/>
              </w:rPr>
            </w:pPr>
            <w:r w:rsidRPr="0096775C">
              <w:rPr>
                <w:rFonts w:ascii="Segoe UI" w:eastAsia="Times New Roman" w:hAnsi="Segoe UI" w:cs="Segoe UI"/>
                <w:b/>
                <w:bCs/>
                <w:color w:val="7B88A1"/>
                <w:sz w:val="20"/>
                <w:szCs w:val="20"/>
                <w:lang w:eastAsia="es-MX"/>
              </w:rPr>
              <w:t>Sin Índices</w:t>
            </w:r>
          </w:p>
        </w:tc>
        <w:tc>
          <w:tcPr>
            <w:tcW w:w="0" w:type="auto"/>
            <w:shd w:val="clear" w:color="auto" w:fill="191C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75C" w:rsidRPr="0096775C" w:rsidRDefault="0096775C" w:rsidP="0096775C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color w:val="7B88A1"/>
                <w:sz w:val="20"/>
                <w:szCs w:val="20"/>
                <w:lang w:eastAsia="es-MX"/>
              </w:rPr>
            </w:pPr>
            <w:r w:rsidRPr="0096775C">
              <w:rPr>
                <w:rFonts w:ascii="Segoe UI" w:eastAsia="Times New Roman" w:hAnsi="Segoe UI" w:cs="Segoe UI"/>
                <w:b/>
                <w:bCs/>
                <w:color w:val="7B88A1"/>
                <w:sz w:val="20"/>
                <w:szCs w:val="20"/>
                <w:lang w:eastAsia="es-MX"/>
              </w:rPr>
              <w:t>Con Índices</w:t>
            </w:r>
          </w:p>
        </w:tc>
        <w:tc>
          <w:tcPr>
            <w:tcW w:w="0" w:type="auto"/>
            <w:shd w:val="clear" w:color="auto" w:fill="191C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75C" w:rsidRPr="0096775C" w:rsidRDefault="0096775C" w:rsidP="0096775C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color w:val="7B88A1"/>
                <w:sz w:val="20"/>
                <w:szCs w:val="20"/>
                <w:lang w:eastAsia="es-MX"/>
              </w:rPr>
            </w:pPr>
            <w:r w:rsidRPr="0096775C">
              <w:rPr>
                <w:rFonts w:ascii="Segoe UI" w:eastAsia="Times New Roman" w:hAnsi="Segoe UI" w:cs="Segoe UI"/>
                <w:b/>
                <w:bCs/>
                <w:color w:val="7B88A1"/>
                <w:sz w:val="20"/>
                <w:szCs w:val="20"/>
                <w:lang w:eastAsia="es-MX"/>
              </w:rPr>
              <w:t>Mejora</w:t>
            </w:r>
          </w:p>
        </w:tc>
      </w:tr>
      <w:tr w:rsidR="0096775C" w:rsidRPr="0096775C" w:rsidTr="0096775C">
        <w:trPr>
          <w:jc w:val="center"/>
        </w:trPr>
        <w:tc>
          <w:tcPr>
            <w:tcW w:w="0" w:type="auto"/>
            <w:shd w:val="clear" w:color="auto" w:fill="191C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75C" w:rsidRPr="0096775C" w:rsidRDefault="0096775C" w:rsidP="0096775C">
            <w:pPr>
              <w:spacing w:before="240" w:after="240" w:line="240" w:lineRule="auto"/>
              <w:rPr>
                <w:rFonts w:ascii="Segoe UI" w:eastAsia="Times New Roman" w:hAnsi="Segoe UI" w:cs="Segoe UI"/>
                <w:color w:val="7B88A1"/>
                <w:sz w:val="20"/>
                <w:szCs w:val="20"/>
                <w:lang w:eastAsia="es-MX"/>
              </w:rPr>
            </w:pPr>
            <w:r w:rsidRPr="0096775C">
              <w:rPr>
                <w:rFonts w:ascii="Segoe UI" w:eastAsia="Times New Roman" w:hAnsi="Segoe UI" w:cs="Segoe UI"/>
                <w:b/>
                <w:bCs/>
                <w:color w:val="7B88A1"/>
                <w:sz w:val="20"/>
                <w:szCs w:val="20"/>
                <w:lang w:eastAsia="es-MX"/>
              </w:rPr>
              <w:t>Primera consulta</w:t>
            </w:r>
          </w:p>
        </w:tc>
        <w:tc>
          <w:tcPr>
            <w:tcW w:w="0" w:type="auto"/>
            <w:shd w:val="clear" w:color="auto" w:fill="191C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75C" w:rsidRPr="0096775C" w:rsidRDefault="0096775C" w:rsidP="0096775C">
            <w:pPr>
              <w:spacing w:before="240" w:after="240" w:line="240" w:lineRule="auto"/>
              <w:rPr>
                <w:rFonts w:ascii="Segoe UI" w:eastAsia="Times New Roman" w:hAnsi="Segoe UI" w:cs="Segoe UI"/>
                <w:color w:val="7B88A1"/>
                <w:sz w:val="20"/>
                <w:szCs w:val="20"/>
                <w:lang w:eastAsia="es-MX"/>
              </w:rPr>
            </w:pPr>
            <w:r w:rsidRPr="0096775C">
              <w:rPr>
                <w:rFonts w:ascii="Segoe UI" w:eastAsia="Times New Roman" w:hAnsi="Segoe UI" w:cs="Segoe UI"/>
                <w:color w:val="7B88A1"/>
                <w:sz w:val="20"/>
                <w:szCs w:val="20"/>
                <w:lang w:eastAsia="es-MX"/>
              </w:rPr>
              <w:t>9.0s</w:t>
            </w:r>
          </w:p>
        </w:tc>
        <w:tc>
          <w:tcPr>
            <w:tcW w:w="0" w:type="auto"/>
            <w:shd w:val="clear" w:color="auto" w:fill="191C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75C" w:rsidRPr="0096775C" w:rsidRDefault="0096775C" w:rsidP="0096775C">
            <w:pPr>
              <w:spacing w:before="240" w:after="240" w:line="240" w:lineRule="auto"/>
              <w:rPr>
                <w:rFonts w:ascii="Segoe UI" w:eastAsia="Times New Roman" w:hAnsi="Segoe UI" w:cs="Segoe UI"/>
                <w:color w:val="7B88A1"/>
                <w:sz w:val="20"/>
                <w:szCs w:val="20"/>
                <w:lang w:eastAsia="es-MX"/>
              </w:rPr>
            </w:pPr>
            <w:r w:rsidRPr="0096775C">
              <w:rPr>
                <w:rFonts w:ascii="Segoe UI" w:eastAsia="Times New Roman" w:hAnsi="Segoe UI" w:cs="Segoe UI"/>
                <w:color w:val="7B88A1"/>
                <w:sz w:val="20"/>
                <w:szCs w:val="20"/>
                <w:lang w:eastAsia="es-MX"/>
              </w:rPr>
              <w:t>4.9s</w:t>
            </w:r>
          </w:p>
        </w:tc>
        <w:tc>
          <w:tcPr>
            <w:tcW w:w="0" w:type="auto"/>
            <w:shd w:val="clear" w:color="auto" w:fill="191C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75C" w:rsidRPr="0096775C" w:rsidRDefault="0096775C" w:rsidP="0096775C">
            <w:pPr>
              <w:spacing w:before="240" w:after="240" w:line="240" w:lineRule="auto"/>
              <w:rPr>
                <w:rFonts w:ascii="Segoe UI" w:eastAsia="Times New Roman" w:hAnsi="Segoe UI" w:cs="Segoe UI"/>
                <w:color w:val="7B88A1"/>
                <w:sz w:val="20"/>
                <w:szCs w:val="20"/>
                <w:lang w:eastAsia="es-MX"/>
              </w:rPr>
            </w:pPr>
            <w:r w:rsidRPr="0096775C">
              <w:rPr>
                <w:rFonts w:ascii="Segoe UI" w:eastAsia="Times New Roman" w:hAnsi="Segoe UI" w:cs="Segoe UI"/>
                <w:b/>
                <w:bCs/>
                <w:color w:val="7B88A1"/>
                <w:sz w:val="20"/>
                <w:szCs w:val="20"/>
                <w:lang w:eastAsia="es-MX"/>
              </w:rPr>
              <w:t>45.6% mejora</w:t>
            </w:r>
          </w:p>
        </w:tc>
      </w:tr>
      <w:tr w:rsidR="0096775C" w:rsidRPr="0096775C" w:rsidTr="0096775C">
        <w:trPr>
          <w:jc w:val="center"/>
        </w:trPr>
        <w:tc>
          <w:tcPr>
            <w:tcW w:w="0" w:type="auto"/>
            <w:shd w:val="clear" w:color="auto" w:fill="191C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75C" w:rsidRPr="0096775C" w:rsidRDefault="0096775C" w:rsidP="0096775C">
            <w:pPr>
              <w:spacing w:before="240" w:after="240" w:line="240" w:lineRule="auto"/>
              <w:rPr>
                <w:rFonts w:ascii="Segoe UI" w:eastAsia="Times New Roman" w:hAnsi="Segoe UI" w:cs="Segoe UI"/>
                <w:color w:val="7B88A1"/>
                <w:sz w:val="20"/>
                <w:szCs w:val="20"/>
                <w:lang w:eastAsia="es-MX"/>
              </w:rPr>
            </w:pPr>
            <w:r w:rsidRPr="0096775C">
              <w:rPr>
                <w:rFonts w:ascii="Segoe UI" w:eastAsia="Times New Roman" w:hAnsi="Segoe UI" w:cs="Segoe UI"/>
                <w:b/>
                <w:bCs/>
                <w:color w:val="7B88A1"/>
                <w:sz w:val="20"/>
                <w:szCs w:val="20"/>
                <w:lang w:eastAsia="es-MX"/>
              </w:rPr>
              <w:t>Segunda consulta</w:t>
            </w:r>
          </w:p>
        </w:tc>
        <w:tc>
          <w:tcPr>
            <w:tcW w:w="0" w:type="auto"/>
            <w:shd w:val="clear" w:color="auto" w:fill="191C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75C" w:rsidRPr="0096775C" w:rsidRDefault="0096775C" w:rsidP="0096775C">
            <w:pPr>
              <w:spacing w:before="240" w:after="240" w:line="240" w:lineRule="auto"/>
              <w:rPr>
                <w:rFonts w:ascii="Segoe UI" w:eastAsia="Times New Roman" w:hAnsi="Segoe UI" w:cs="Segoe UI"/>
                <w:color w:val="7B88A1"/>
                <w:sz w:val="20"/>
                <w:szCs w:val="20"/>
                <w:lang w:eastAsia="es-MX"/>
              </w:rPr>
            </w:pPr>
            <w:r w:rsidRPr="0096775C">
              <w:rPr>
                <w:rFonts w:ascii="Segoe UI" w:eastAsia="Times New Roman" w:hAnsi="Segoe UI" w:cs="Segoe UI"/>
                <w:color w:val="7B88A1"/>
                <w:sz w:val="20"/>
                <w:szCs w:val="20"/>
                <w:lang w:eastAsia="es-MX"/>
              </w:rPr>
              <w:t>5.1s</w:t>
            </w:r>
          </w:p>
        </w:tc>
        <w:tc>
          <w:tcPr>
            <w:tcW w:w="0" w:type="auto"/>
            <w:shd w:val="clear" w:color="auto" w:fill="191C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75C" w:rsidRPr="0096775C" w:rsidRDefault="0096775C" w:rsidP="0096775C">
            <w:pPr>
              <w:spacing w:before="240" w:after="240" w:line="240" w:lineRule="auto"/>
              <w:rPr>
                <w:rFonts w:ascii="Segoe UI" w:eastAsia="Times New Roman" w:hAnsi="Segoe UI" w:cs="Segoe UI"/>
                <w:color w:val="7B88A1"/>
                <w:sz w:val="20"/>
                <w:szCs w:val="20"/>
                <w:lang w:eastAsia="es-MX"/>
              </w:rPr>
            </w:pPr>
            <w:r w:rsidRPr="0096775C">
              <w:rPr>
                <w:rFonts w:ascii="Segoe UI" w:eastAsia="Times New Roman" w:hAnsi="Segoe UI" w:cs="Segoe UI"/>
                <w:color w:val="7B88A1"/>
                <w:sz w:val="20"/>
                <w:szCs w:val="20"/>
                <w:lang w:eastAsia="es-MX"/>
              </w:rPr>
              <w:t>4.8s</w:t>
            </w:r>
          </w:p>
        </w:tc>
        <w:tc>
          <w:tcPr>
            <w:tcW w:w="0" w:type="auto"/>
            <w:shd w:val="clear" w:color="auto" w:fill="191C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775C" w:rsidRPr="0096775C" w:rsidRDefault="0096775C" w:rsidP="0096775C">
            <w:pPr>
              <w:spacing w:before="240" w:after="240" w:line="240" w:lineRule="auto"/>
              <w:rPr>
                <w:rFonts w:ascii="Segoe UI" w:eastAsia="Times New Roman" w:hAnsi="Segoe UI" w:cs="Segoe UI"/>
                <w:color w:val="7B88A1"/>
                <w:sz w:val="20"/>
                <w:szCs w:val="20"/>
                <w:lang w:eastAsia="es-MX"/>
              </w:rPr>
            </w:pPr>
            <w:r w:rsidRPr="0096775C">
              <w:rPr>
                <w:rFonts w:ascii="Segoe UI" w:eastAsia="Times New Roman" w:hAnsi="Segoe UI" w:cs="Segoe UI"/>
                <w:b/>
                <w:bCs/>
                <w:color w:val="7B88A1"/>
                <w:sz w:val="20"/>
                <w:szCs w:val="20"/>
                <w:lang w:eastAsia="es-MX"/>
              </w:rPr>
              <w:t>5.9% mejora</w:t>
            </w:r>
          </w:p>
        </w:tc>
      </w:tr>
    </w:tbl>
    <w:p w:rsidR="0096775C" w:rsidRDefault="0096775C" w:rsidP="007E6903">
      <w:pPr>
        <w:rPr>
          <w:rFonts w:ascii="Arial" w:hAnsi="Arial" w:cs="Arial"/>
          <w:sz w:val="24"/>
          <w:szCs w:val="24"/>
        </w:rPr>
      </w:pPr>
    </w:p>
    <w:p w:rsidR="0096775C" w:rsidRDefault="00E17A73" w:rsidP="00E17A7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Análisis:</w:t>
      </w:r>
    </w:p>
    <w:p w:rsidR="00E17A73" w:rsidRPr="007E6903" w:rsidRDefault="00E17A73" w:rsidP="00E17A73">
      <w:pPr>
        <w:jc w:val="both"/>
        <w:rPr>
          <w:rFonts w:ascii="Arial" w:hAnsi="Arial" w:cs="Arial"/>
          <w:sz w:val="24"/>
          <w:szCs w:val="24"/>
        </w:rPr>
      </w:pPr>
      <w:r w:rsidRPr="00E17A73">
        <w:rPr>
          <w:rFonts w:ascii="Arial" w:hAnsi="Arial" w:cs="Arial"/>
          <w:sz w:val="24"/>
          <w:szCs w:val="24"/>
        </w:rPr>
        <w:t xml:space="preserve">Los resultados demuestran que los índices compuestos son altamente efectivos para optimizar consultas SQL, especialmente aquellas que involucran </w:t>
      </w:r>
      <w:proofErr w:type="spellStart"/>
      <w:r w:rsidRPr="00E17A73">
        <w:rPr>
          <w:rFonts w:ascii="Arial" w:hAnsi="Arial" w:cs="Arial"/>
          <w:sz w:val="24"/>
          <w:szCs w:val="24"/>
        </w:rPr>
        <w:t>JOINs</w:t>
      </w:r>
      <w:proofErr w:type="spellEnd"/>
      <w:r w:rsidRPr="00E17A73">
        <w:rPr>
          <w:rFonts w:ascii="Arial" w:hAnsi="Arial" w:cs="Arial"/>
          <w:sz w:val="24"/>
          <w:szCs w:val="24"/>
        </w:rPr>
        <w:t xml:space="preserve"> por claves foráneas, agregaciones y filtros WHERE. La primera consulta mostró una mejora dramática del 45.6 (de 9.0s a 4.9s) gracias al índice </w:t>
      </w:r>
      <w:proofErr w:type="gramStart"/>
      <w:r w:rsidRPr="00E17A73">
        <w:rPr>
          <w:rFonts w:ascii="Arial" w:hAnsi="Arial" w:cs="Arial"/>
          <w:sz w:val="24"/>
          <w:szCs w:val="24"/>
        </w:rPr>
        <w:t>`(</w:t>
      </w:r>
      <w:proofErr w:type="spellStart"/>
      <w:proofErr w:type="gramEnd"/>
      <w:r w:rsidRPr="00E17A73">
        <w:rPr>
          <w:rFonts w:ascii="Arial" w:hAnsi="Arial" w:cs="Arial"/>
          <w:sz w:val="24"/>
          <w:szCs w:val="24"/>
        </w:rPr>
        <w:t>ProductID</w:t>
      </w:r>
      <w:proofErr w:type="spellEnd"/>
      <w:r w:rsidRPr="00E17A7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7A73">
        <w:rPr>
          <w:rFonts w:ascii="Arial" w:hAnsi="Arial" w:cs="Arial"/>
          <w:sz w:val="24"/>
          <w:szCs w:val="24"/>
        </w:rPr>
        <w:t>Quantity</w:t>
      </w:r>
      <w:proofErr w:type="spellEnd"/>
      <w:r w:rsidRPr="00E17A73">
        <w:rPr>
          <w:rFonts w:ascii="Arial" w:hAnsi="Arial" w:cs="Arial"/>
          <w:sz w:val="24"/>
          <w:szCs w:val="24"/>
        </w:rPr>
        <w:t xml:space="preserve">)` que optimizó directamente las operaciones de JOIN, GROUP BY y ORDER BY. Sin embargo, la segunda consulta tuvo una mejora limitada del 5.9% (de 5.1s a 4.8s) debido a su mayor complejidad con múltiples </w:t>
      </w:r>
      <w:proofErr w:type="spellStart"/>
      <w:r w:rsidRPr="00E17A73">
        <w:rPr>
          <w:rFonts w:ascii="Arial" w:hAnsi="Arial" w:cs="Arial"/>
          <w:sz w:val="24"/>
          <w:szCs w:val="24"/>
        </w:rPr>
        <w:t>CTEs</w:t>
      </w:r>
      <w:proofErr w:type="spellEnd"/>
      <w:r w:rsidRPr="00E17A73">
        <w:rPr>
          <w:rFonts w:ascii="Arial" w:hAnsi="Arial" w:cs="Arial"/>
          <w:sz w:val="24"/>
          <w:szCs w:val="24"/>
        </w:rPr>
        <w:t xml:space="preserve"> y funciones de ventana que no se benefician completamente de los índices simples. Los índices resultan más efectivos en columnas con alta </w:t>
      </w:r>
      <w:proofErr w:type="spellStart"/>
      <w:r w:rsidRPr="00E17A73">
        <w:rPr>
          <w:rFonts w:ascii="Arial" w:hAnsi="Arial" w:cs="Arial"/>
          <w:sz w:val="24"/>
          <w:szCs w:val="24"/>
        </w:rPr>
        <w:t>selectividadcomo</w:t>
      </w:r>
      <w:proofErr w:type="spellEnd"/>
      <w:r w:rsidRPr="00E17A73">
        <w:rPr>
          <w:rFonts w:ascii="Arial" w:hAnsi="Arial" w:cs="Arial"/>
          <w:sz w:val="24"/>
          <w:szCs w:val="24"/>
        </w:rPr>
        <w:t xml:space="preserve"> claves foráneas (`</w:t>
      </w:r>
      <w:proofErr w:type="spellStart"/>
      <w:r w:rsidRPr="00E17A73">
        <w:rPr>
          <w:rFonts w:ascii="Arial" w:hAnsi="Arial" w:cs="Arial"/>
          <w:sz w:val="24"/>
          <w:szCs w:val="24"/>
        </w:rPr>
        <w:t>ProductID</w:t>
      </w:r>
      <w:proofErr w:type="spellEnd"/>
      <w:r w:rsidRPr="00E17A73">
        <w:rPr>
          <w:rFonts w:ascii="Arial" w:hAnsi="Arial" w:cs="Arial"/>
          <w:sz w:val="24"/>
          <w:szCs w:val="24"/>
        </w:rPr>
        <w:t>`, `</w:t>
      </w:r>
      <w:proofErr w:type="spellStart"/>
      <w:r w:rsidRPr="00E17A73">
        <w:rPr>
          <w:rFonts w:ascii="Arial" w:hAnsi="Arial" w:cs="Arial"/>
          <w:sz w:val="24"/>
          <w:szCs w:val="24"/>
        </w:rPr>
        <w:t>SalesPersonID</w:t>
      </w:r>
      <w:proofErr w:type="spellEnd"/>
      <w:r w:rsidRPr="00E17A73">
        <w:rPr>
          <w:rFonts w:ascii="Arial" w:hAnsi="Arial" w:cs="Arial"/>
          <w:sz w:val="24"/>
          <w:szCs w:val="24"/>
        </w:rPr>
        <w:t>`) y columnas de agregación (`</w:t>
      </w:r>
      <w:proofErr w:type="spellStart"/>
      <w:r w:rsidRPr="00E17A73">
        <w:rPr>
          <w:rFonts w:ascii="Arial" w:hAnsi="Arial" w:cs="Arial"/>
          <w:sz w:val="24"/>
          <w:szCs w:val="24"/>
        </w:rPr>
        <w:t>Quantity</w:t>
      </w:r>
      <w:proofErr w:type="spellEnd"/>
      <w:r w:rsidRPr="00E17A73">
        <w:rPr>
          <w:rFonts w:ascii="Arial" w:hAnsi="Arial" w:cs="Arial"/>
          <w:sz w:val="24"/>
          <w:szCs w:val="24"/>
        </w:rPr>
        <w:t>`), mientras que su impacto es menor en consultas complejas con múltiples operaciones computacionales. En general, los índices proporc</w:t>
      </w:r>
      <w:r>
        <w:rPr>
          <w:rFonts w:ascii="Arial" w:hAnsi="Arial" w:cs="Arial"/>
          <w:sz w:val="24"/>
          <w:szCs w:val="24"/>
        </w:rPr>
        <w:t xml:space="preserve">ionaron una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mejora del 31.2%</w:t>
      </w:r>
      <w:r w:rsidRPr="00E17A73">
        <w:rPr>
          <w:rFonts w:ascii="Arial" w:hAnsi="Arial" w:cs="Arial"/>
          <w:sz w:val="24"/>
          <w:szCs w:val="24"/>
        </w:rPr>
        <w:t xml:space="preserve"> en el tiempo total de ejecución, confirmando su valor como herramienta fundamental de optimización de bases de datos para operaciones de análisis y reportes.</w:t>
      </w:r>
    </w:p>
    <w:sectPr w:rsidR="00E17A73" w:rsidRPr="007E69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903"/>
    <w:rsid w:val="00007463"/>
    <w:rsid w:val="00476C2C"/>
    <w:rsid w:val="0065320C"/>
    <w:rsid w:val="007E6903"/>
    <w:rsid w:val="0096775C"/>
    <w:rsid w:val="009D1A2F"/>
    <w:rsid w:val="00E1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3DB30-5B23-416F-B4EB-C83677CE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90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down-bold-text">
    <w:name w:val="markdown-bold-text"/>
    <w:basedOn w:val="Fuentedeprrafopredeter"/>
    <w:rsid w:val="00967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8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605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2025-10-04T00:02:00Z</dcterms:created>
  <dcterms:modified xsi:type="dcterms:W3CDTF">2025-10-04T01:30:00Z</dcterms:modified>
</cp:coreProperties>
</file>