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INTRODUCCIÓN A LA CIENCIA DE DATOS CON PYTHON (PROPEDÉUTICO)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0" w:line="360" w:lineRule="auto"/>
        <w:ind w:left="708" w:firstLine="0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222222"/>
          <w:highlight w:val="white"/>
          <w:rtl w:val="0"/>
        </w:rPr>
        <w:t xml:space="preserve">El presente curso sentará las bases teóricas y prácticas necesarias para el uso de herramientas de ciencia de datos, incorporando herramientas tecnológicas que permitan capturar, filtrar y visualizar información. Además, ayudará a nivelar los conocimientos de aspirantes a ingreso a la Maestría en Ciencia de Datos e Información</w:t>
      </w:r>
    </w:p>
    <w:p w:rsidR="00000000" w:rsidDel="00000000" w:rsidP="00000000" w:rsidRDefault="00000000" w:rsidRPr="00000000" w14:paraId="00000005">
      <w:pPr>
        <w:spacing w:after="0" w:line="360" w:lineRule="auto"/>
        <w:ind w:left="708" w:firstLine="0"/>
        <w:jc w:val="both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Modalidad: 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Virtual.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Duración: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42 horas (28 horas de sesiones síncronas y 14 horas de estudio independiente con asesoría en línea asíncrona).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Dirigido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El curso se dirige al público en general público general con bases firmes en programación y matemáticas con el interés en aprender conceptos básicos de matemáticas, estadística, programación, y algoritmos para su aplicación en diversas actividades científicas, sociales, y productivas que requieren de aplicar técnicas de Ciencia de Datos, como son: Física, Matemáticas, Ciencias de la Tierra, Actuaría, Ciencias de la Computación, Ingenierías, Biología y Ciencias de la Salud, Economía y Finanzas.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Temario: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El curso consta de cuatro módulos teóricos: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Introducción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Sintaxis de Python (ya lo deben conocer, recordatorio rápido): variables, condicionales, loops, funciones, clases, objetos, mixins, funciones de orden superior; estructuras de datos y tipos de datos básicos.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Instalación y configuración, instalación de paquetes, uso de conda, pip, pipenv, conda environments; jupyter notebook, concepto y uso, posibilidades de ejecución remota.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Análisis de algoritmos y estructuras de datos básicas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360" w:lineRule="auto"/>
        <w:ind w:left="216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listas, pilas, colas, arreglos, diccionarios, colas de prioridad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="360" w:lineRule="auto"/>
        <w:ind w:left="216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árboles y 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Practicar con ejemplos de las estructuras nativas de Python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Probabilidad y Estadística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Introducción a las herramientas y paquetes de Python, e.g., numpy y ndarray; carga y manejo de datos tabulares con Pandas, graficación con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Probabilidad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Distribuciones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Medidas de tendencia central y de dispersión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Estadística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Muestreo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Modelos de regresión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Ejemplos con Python y notebooks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72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Álgebra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Vectores y espacios vectoriales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Matrices y sus operaciones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Determinantes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Solución de sistemas de ecuaciones lineales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Valores y vectores característicos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Ejemplos con Python y numpy (notebooks)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72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Cálculo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Geometría analítica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Funciones e identidades trigonométricas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Cálculo diferencial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Cálculo integral (en especial ver el método de fracciones parciales, muy importante para MSE)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Métodos numéricos para resolución de ecuaciones diferenciales e integración en Python (usando scipy y notebooks)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Planeación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8"/>
        <w:gridCol w:w="1768"/>
        <w:gridCol w:w="1768"/>
        <w:gridCol w:w="1768"/>
        <w:gridCol w:w="1768"/>
        <w:tblGridChange w:id="0">
          <w:tblGrid>
            <w:gridCol w:w="1768"/>
            <w:gridCol w:w="1768"/>
            <w:gridCol w:w="1768"/>
            <w:gridCol w:w="1768"/>
            <w:gridCol w:w="17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22222"/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22222"/>
                <w:highlight w:val="white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22222"/>
                <w:highlight w:val="white"/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22222"/>
                <w:highlight w:val="white"/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22222"/>
                <w:highlight w:val="white"/>
                <w:rtl w:val="0"/>
              </w:rPr>
              <w:t xml:space="preserve">M4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18 mayo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10:00-12:00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12:00-14:00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25 mayo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10:00-12:00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12:00-14:00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 junio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10:00-12:00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12:00-14:00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8 junio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12:00-14:00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10:00-12:00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15 junio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10:00-12:00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12:00-14:00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Light" w:cs="Montserrat Light" w:eastAsia="Montserrat Light" w:hAnsi="Montserrat Light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22 junio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10:00-12:00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12:00-14:00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29 junio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10:00-12:00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Montserrat Light" w:cs="Montserrat Light" w:eastAsia="Montserrat Light" w:hAnsi="Montserrat Light"/>
                <w:color w:val="222222"/>
                <w:highlight w:val="white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222222"/>
                <w:highlight w:val="white"/>
                <w:rtl w:val="0"/>
              </w:rPr>
              <w:t xml:space="preserve">12:00-14:00</w:t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ind w:left="0" w:firstLine="0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0" w:firstLine="0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Profesor: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360" w:lineRule="auto"/>
        <w:ind w:left="720" w:hanging="360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222222"/>
          <w:highlight w:val="white"/>
          <w:rtl w:val="0"/>
        </w:rPr>
        <w:t xml:space="preserve">M1, M2, M3, M4. Dr. Juliho Castillo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Montserrat" w:cs="Montserrat" w:eastAsia="Montserrat" w:hAnsi="Montserrat"/>
          <w:b w:val="1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Acreditación: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222222"/>
          <w:highlight w:val="white"/>
          <w:rtl w:val="0"/>
        </w:rPr>
        <w:t xml:space="preserve">Realizar las actividades establecidas en el curso y con calificación aprobatoria (mínimo 80/100 de calificación)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Montserrat Light" w:cs="Montserrat Light" w:eastAsia="Montserrat Light" w:hAnsi="Montserrat Ligh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highlight w:val="white"/>
          <w:rtl w:val="0"/>
        </w:rPr>
        <w:t xml:space="preserve">Fechas: </w:t>
      </w:r>
      <w:r w:rsidDel="00000000" w:rsidR="00000000" w:rsidRPr="00000000">
        <w:rPr>
          <w:rFonts w:ascii="Montserrat Light" w:cs="Montserrat Light" w:eastAsia="Montserrat Light" w:hAnsi="Montserrat Light"/>
          <w:color w:val="222222"/>
          <w:highlight w:val="white"/>
          <w:rtl w:val="0"/>
        </w:rPr>
        <w:t xml:space="preserve">sábados 18 de mayo a 29 de junio de 2024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Metodología: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clases serán en línea en formato sincrónico. Esta modalidad permite la interacción entre las personas estudiantes y docentes.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emplea el uso del aula virtual donde podrá encontrar las ligas de videoconferencia, temario, actividades, lecturas, entre otros recursos para su aprovechamiento.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cada módulo, se realizará un examen respecto a los temas estudiados para acreditar los módulos; así como actividades o lecturas que proporcionen las personas docentes.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personas que así lo deseen, podrán inscribirse a uno o varios módulos del curso. Al terminar satisfactoriamente el o los módulos deseados, se les expedirá una constancia de participación.</w:t>
      </w:r>
    </w:p>
    <w:p w:rsidR="00000000" w:rsidDel="00000000" w:rsidP="00000000" w:rsidRDefault="00000000" w:rsidRPr="00000000" w14:paraId="00000068">
      <w:pPr>
        <w:spacing w:after="0" w:line="360" w:lineRule="auto"/>
        <w:ind w:left="708" w:firstLine="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 de acreditación: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Cubrir el costo total del 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curso</w:t>
      </w: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 en los tiempos señalados.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Haber asistido al menos 80% de las sesiones en línea.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Realizar y aprobar las actividades de cada módulo, en tiempo y forma.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 Light" w:cs="Montserrat Light" w:eastAsia="Montserrat Light" w:hAnsi="Montserrat Light"/>
          <w:color w:val="000000"/>
          <w:rtl w:val="0"/>
        </w:rPr>
        <w:t xml:space="preserve">Tener una calificación mínima de 80 en las evaluaciones correspondientes de cada módulo.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Coordinación académica: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Dr. Eric Sadit Téllez Avila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Montserrat Light" w:cs="Montserrat Light" w:eastAsia="Montserrat Light" w:hAnsi="Montserrat Light"/>
          <w:b w:val="1"/>
        </w:rPr>
      </w:pPr>
      <w:r w:rsidDel="00000000" w:rsidR="00000000" w:rsidRPr="00000000">
        <w:rPr>
          <w:rFonts w:ascii="Montserrat Light" w:cs="Montserrat Light" w:eastAsia="Montserrat Light" w:hAnsi="Montserrat Light"/>
          <w:b w:val="1"/>
          <w:rtl w:val="0"/>
        </w:rPr>
        <w:t xml:space="preserve">Costos: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INFORMES E INSCRIPCIÓN: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educacion.continua@infotec.mx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5556242800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Ext: 2354 y 2352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822" w:top="1133" w:left="1700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