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repnnk6s8q0o" w:colFirst="0" w:colLast="0"/>
      <w:bookmarkEnd w:id="0"/>
      <w:r>
        <w:rPr>
          <w:b/>
          <w:bCs/>
          <w:sz w:val="34"/>
          <w:szCs w:val="34"/>
          <w:rtl w:val="0"/>
        </w:rPr>
        <w:t>HU1: Arquitectura de una Plataforma Moderna</w:t>
      </w:r>
    </w:p>
    <w:p w14:paraId="00000002">
      <w:pPr>
        <w:spacing w:before="240" w:after="240"/>
        <w:ind w:left="600" w:right="600" w:firstLine="0"/>
        <w:rPr>
          <w:b/>
          <w:bCs/>
        </w:rPr>
      </w:pPr>
      <w:r>
        <w:rPr>
          <w:b/>
          <w:bCs/>
          <w:rtl w:val="0"/>
        </w:rPr>
        <w:t>"Como ingeniero de datos, quiero comprender la arquitectura de una plataforma de datos moderna para estructurar la solución de LogiData."</w:t>
      </w:r>
    </w:p>
    <w:p w14:paraId="00000003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1tkbkynrvtdi" w:colFirst="0" w:colLast="0"/>
      <w:bookmarkEnd w:id="1"/>
      <w:r>
        <w:fldChar w:fldCharType="begin"/>
      </w:r>
      <w:r>
        <w:instrText xml:space="preserve"> HYPERLINK "https://drive.google.com/file/d/14CW2ryk5ZomgpJgNMGr-O28Tea5Cilnx/view?usp=sharing" \h </w:instrText>
      </w:r>
      <w:r>
        <w:fldChar w:fldCharType="separate"/>
      </w:r>
      <w:r>
        <w:rPr>
          <w:b/>
          <w:bCs/>
          <w:color w:val="1155CC"/>
          <w:sz w:val="26"/>
          <w:szCs w:val="26"/>
          <w:u w:val="single"/>
          <w:rtl w:val="0"/>
        </w:rPr>
        <w:t>Diagrama de Arquitectura General</w:t>
      </w:r>
      <w:r>
        <w:rPr>
          <w:b/>
          <w:bCs/>
          <w:color w:val="1155CC"/>
          <w:sz w:val="26"/>
          <w:szCs w:val="26"/>
          <w:u w:val="single"/>
          <w:rtl w:val="0"/>
        </w:rPr>
        <w:fldChar w:fldCharType="end"/>
      </w:r>
    </w:p>
    <w:p w14:paraId="00000004"/>
    <w:p w14:paraId="00000005">
      <w:pPr>
        <w:spacing w:before="240" w:after="240"/>
      </w:pPr>
      <w:r>
        <w:rPr>
          <w:rtl w:val="0"/>
        </w:rPr>
        <w:t xml:space="preserve">Para LogiData, la arquitectura sigue el patrón de </w:t>
      </w:r>
      <w:r>
        <w:rPr>
          <w:b/>
          <w:bCs/>
          <w:rtl w:val="0"/>
        </w:rPr>
        <w:t>Arquitectura de Medallón</w:t>
      </w:r>
      <w:r>
        <w:rPr>
          <w:rtl w:val="0"/>
        </w:rPr>
        <w:t xml:space="preserve"> integrada con flujos de </w:t>
      </w:r>
      <w:r>
        <w:rPr>
          <w:b/>
          <w:bCs/>
          <w:rtl w:val="0"/>
        </w:rPr>
        <w:t>Streaming</w:t>
      </w:r>
      <w:r>
        <w:rPr>
          <w:rtl w:val="0"/>
        </w:rPr>
        <w:t xml:space="preserve"> y </w:t>
      </w:r>
      <w:r>
        <w:rPr>
          <w:b/>
          <w:bCs/>
          <w:rtl w:val="0"/>
        </w:rPr>
        <w:t>Batch</w:t>
      </w:r>
      <w:r>
        <w:rPr>
          <w:rtl w:val="0"/>
        </w:rPr>
        <w:t>.</w:t>
      </w:r>
    </w:p>
    <w:p w14:paraId="00000006">
      <w:pPr>
        <w:spacing w:before="240" w:after="240"/>
        <w:rPr>
          <w:b/>
          <w:bCs/>
        </w:rPr>
      </w:pPr>
      <w:r>
        <w:rPr>
          <w:b/>
          <w:bCs/>
          <w:rtl w:val="0"/>
        </w:rPr>
        <w:t>Flujo General:</w:t>
      </w:r>
    </w:p>
    <w:p w14:paraId="00000007">
      <w:pPr>
        <w:numPr>
          <w:ilvl w:val="0"/>
          <w:numId w:val="1"/>
        </w:numPr>
        <w:spacing w:before="240" w:after="0" w:afterAutospacing="0"/>
        <w:ind w:left="720" w:hanging="360"/>
      </w:pPr>
      <w:r>
        <w:rPr>
          <w:b/>
          <w:bCs/>
          <w:rtl w:val="0"/>
        </w:rPr>
        <w:t>Entrada:</w:t>
      </w:r>
      <w:r>
        <w:rPr>
          <w:rtl w:val="0"/>
        </w:rPr>
        <w:t xml:space="preserve"> Los archivos CSV (Pedidos, Clientes, Catálogo) y los eventos de sensores IoT entran al ecosistema.</w:t>
      </w:r>
    </w:p>
    <w:p w14:paraId="00000008">
      <w:pPr>
        <w:numPr>
          <w:ilvl w:val="0"/>
          <w:numId w:val="1"/>
        </w:numPr>
        <w:spacing w:before="0" w:beforeAutospacing="0" w:after="0" w:afterAutospacing="0"/>
        <w:ind w:left="720" w:hanging="360"/>
      </w:pPr>
      <w:r>
        <w:rPr>
          <w:b/>
          <w:bCs/>
          <w:rtl w:val="0"/>
        </w:rPr>
        <w:t>Tratamiento:</w:t>
      </w:r>
      <w:r>
        <w:rPr>
          <w:rtl w:val="0"/>
        </w:rPr>
        <w:t xml:space="preserve"> Los datos pasan de un estado "sucio" (</w:t>
      </w:r>
      <w:r>
        <w:rPr>
          <w:b/>
          <w:bCs/>
          <w:rtl w:val="0"/>
        </w:rPr>
        <w:t>Raw</w:t>
      </w:r>
      <w:r>
        <w:rPr>
          <w:rtl w:val="0"/>
        </w:rPr>
        <w:t>) a uno "limpio" (</w:t>
      </w:r>
      <w:r>
        <w:rPr>
          <w:b/>
          <w:bCs/>
          <w:rtl w:val="0"/>
        </w:rPr>
        <w:t>Silver</w:t>
      </w:r>
      <w:r>
        <w:rPr>
          <w:rtl w:val="0"/>
        </w:rPr>
        <w:t>) y finalmente "listivo para negocio" (</w:t>
      </w:r>
      <w:r>
        <w:rPr>
          <w:b/>
          <w:bCs/>
          <w:rtl w:val="0"/>
        </w:rPr>
        <w:t>Gold</w:t>
      </w:r>
      <w:r>
        <w:rPr>
          <w:rtl w:val="0"/>
        </w:rPr>
        <w:t>).</w:t>
      </w:r>
    </w:p>
    <w:p w14:paraId="00000009">
      <w:pPr>
        <w:numPr>
          <w:ilvl w:val="0"/>
          <w:numId w:val="1"/>
        </w:numPr>
        <w:spacing w:before="0" w:beforeAutospacing="0" w:after="240"/>
        <w:ind w:left="720" w:hanging="360"/>
      </w:pPr>
      <w:r>
        <w:rPr>
          <w:b/>
          <w:bCs/>
          <w:rtl w:val="0"/>
        </w:rPr>
        <w:t>Transversalidad:</w:t>
      </w:r>
      <w:r>
        <w:rPr>
          <w:rtl w:val="0"/>
        </w:rPr>
        <w:t xml:space="preserve"> El monitoreo, la seguridad y la calidad envuelven todo el proceso para asegurar que el dato sea confiable.</w:t>
      </w:r>
    </w:p>
    <w:p w14:paraId="0000000A"/>
    <w:p w14:paraId="0000000B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1c125fl2enu6" w:colFirst="0" w:colLast="0"/>
      <w:bookmarkEnd w:id="2"/>
      <w:r>
        <w:rPr>
          <w:b/>
          <w:bCs/>
          <w:sz w:val="34"/>
          <w:szCs w:val="34"/>
          <w:rtl w:val="0"/>
        </w:rPr>
        <w:t>HU2: Definición de Servicios AWS</w:t>
      </w:r>
    </w:p>
    <w:p w14:paraId="0000000C">
      <w:pPr>
        <w:spacing w:before="240" w:after="240"/>
        <w:ind w:left="600" w:right="600" w:firstLine="0"/>
        <w:rPr>
          <w:b/>
          <w:bCs/>
        </w:rPr>
      </w:pPr>
      <w:r>
        <w:rPr>
          <w:b/>
          <w:bCs/>
          <w:rtl w:val="0"/>
        </w:rPr>
        <w:t>"Como ingeniero, quiero definir los servicios AWS que usaré en la plataforma."</w:t>
      </w:r>
    </w:p>
    <w:p w14:paraId="0000000D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5h1frt234ptt" w:colFirst="0" w:colLast="0"/>
      <w:bookmarkEnd w:id="3"/>
      <w:r>
        <w:rPr>
          <w:b/>
          <w:bCs/>
          <w:color w:val="000000"/>
          <w:sz w:val="26"/>
          <w:szCs w:val="26"/>
          <w:rtl w:val="0"/>
        </w:rPr>
        <w:t xml:space="preserve"> Documento Técnico Base: Componentes y Flujo</w:t>
      </w:r>
    </w:p>
    <w:p w14:paraId="0000000E">
      <w:pPr>
        <w:spacing w:before="240" w:after="240"/>
      </w:pPr>
      <w:r>
        <w:rPr>
          <w:rtl w:val="0"/>
        </w:rPr>
        <w:t>Este es el desglose técnico de lo que vas a construir. Úsalo como tu "biblia" para la sustentación:</w:t>
      </w:r>
    </w:p>
    <w:p w14:paraId="0000000F">
      <w:pPr>
        <w:pStyle w:val="5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4" w:name="_jionfp7o8i69" w:colFirst="0" w:colLast="0"/>
      <w:bookmarkEnd w:id="4"/>
      <w:r>
        <w:rPr>
          <w:b/>
          <w:bCs/>
          <w:color w:val="000000"/>
          <w:sz w:val="22"/>
          <w:szCs w:val="22"/>
          <w:rtl w:val="0"/>
        </w:rPr>
        <w:t>1. Ingesta y Almacenamiento</w:t>
      </w:r>
    </w:p>
    <w:p w14:paraId="00000010">
      <w:pPr>
        <w:numPr>
          <w:ilvl w:val="0"/>
          <w:numId w:val="2"/>
        </w:numPr>
        <w:spacing w:before="240" w:after="0" w:afterAutospacing="0"/>
        <w:ind w:left="720" w:hanging="360"/>
      </w:pPr>
      <w:r>
        <w:rPr>
          <w:b/>
          <w:bCs/>
          <w:rtl w:val="0"/>
        </w:rPr>
        <w:t>Amazon S3:</w:t>
      </w:r>
      <w:r>
        <w:rPr>
          <w:rtl w:val="0"/>
        </w:rPr>
        <w:t xml:space="preserve"> Actuará como nuestro </w:t>
      </w:r>
      <w:r>
        <w:rPr>
          <w:b/>
          <w:bCs/>
          <w:rtl w:val="0"/>
        </w:rPr>
        <w:t>Data Lake</w:t>
      </w:r>
      <w:r>
        <w:rPr>
          <w:rtl w:val="0"/>
        </w:rPr>
        <w:t xml:space="preserve">. Usaremos buckets para separar las </w:t>
      </w:r>
      <w:bookmarkStart w:id="9" w:name="_GoBack"/>
      <w:bookmarkEnd w:id="9"/>
      <w:r>
        <w:rPr>
          <w:rtl w:val="0"/>
        </w:rPr>
        <w:t>capas (Bronze/Silver/Gold).</w:t>
      </w:r>
    </w:p>
    <w:p w14:paraId="00000011">
      <w:pPr>
        <w:numPr>
          <w:ilvl w:val="0"/>
          <w:numId w:val="2"/>
        </w:numPr>
        <w:spacing w:before="0" w:beforeAutospacing="0" w:after="240"/>
        <w:ind w:left="720" w:hanging="360"/>
        <w:rPr>
          <w:highlight w:val="yellow"/>
        </w:rPr>
      </w:pPr>
      <w:r>
        <w:rPr>
          <w:b/>
          <w:bCs/>
          <w:highlight w:val="yellow"/>
          <w:rtl w:val="0"/>
        </w:rPr>
        <w:t>Amazon Kinesis Data Firehose:</w:t>
      </w:r>
      <w:r>
        <w:rPr>
          <w:highlight w:val="yellow"/>
          <w:rtl w:val="0"/>
        </w:rPr>
        <w:t xml:space="preserve"> Para capturar los eventos de los sensores en tiempo real y depositarlos automáticamente en S3 sin gestionar servidores.</w:t>
      </w:r>
    </w:p>
    <w:p w14:paraId="00000012">
      <w:pPr>
        <w:pStyle w:val="5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5" w:name="_furm4meby4ok" w:colFirst="0" w:colLast="0"/>
      <w:bookmarkEnd w:id="5"/>
      <w:r>
        <w:rPr>
          <w:b/>
          <w:bCs/>
          <w:color w:val="000000"/>
          <w:sz w:val="22"/>
          <w:szCs w:val="22"/>
          <w:rtl w:val="0"/>
        </w:rPr>
        <w:t xml:space="preserve">2. Procesamiento </w:t>
      </w:r>
    </w:p>
    <w:p w14:paraId="00000013">
      <w:pPr>
        <w:numPr>
          <w:ilvl w:val="0"/>
          <w:numId w:val="3"/>
        </w:numPr>
        <w:spacing w:before="240" w:after="0" w:afterAutospacing="0"/>
        <w:ind w:left="720" w:hanging="360"/>
      </w:pPr>
      <w:r>
        <w:rPr>
          <w:b/>
          <w:bCs/>
          <w:rtl w:val="0"/>
        </w:rPr>
        <w:t>AWS Glue (ETL Jobs):</w:t>
      </w:r>
      <w:r>
        <w:rPr>
          <w:rtl w:val="0"/>
        </w:rPr>
        <w:t xml:space="preserve"> Utilizaremos </w:t>
      </w:r>
      <w:r>
        <w:rPr>
          <w:b/>
          <w:bCs/>
          <w:rtl w:val="0"/>
        </w:rPr>
        <w:t>PySpark</w:t>
      </w:r>
      <w:r>
        <w:rPr>
          <w:rtl w:val="0"/>
        </w:rPr>
        <w:t xml:space="preserve"> para las transformaciones Batch pesadas. Es ideal para procesar los 50,000 pedidos diarios y cruzar tablas grandes.</w:t>
      </w:r>
    </w:p>
    <w:p w14:paraId="00000014">
      <w:pPr>
        <w:numPr>
          <w:ilvl w:val="0"/>
          <w:numId w:val="3"/>
        </w:numPr>
        <w:spacing w:before="0" w:beforeAutospacing="0" w:after="240"/>
        <w:ind w:left="720" w:hanging="360"/>
      </w:pPr>
      <w:r>
        <w:rPr>
          <w:b/>
          <w:bCs/>
          <w:rtl w:val="0"/>
        </w:rPr>
        <w:t>AWS Lambda:</w:t>
      </w:r>
      <w:r>
        <w:rPr>
          <w:rtl w:val="0"/>
        </w:rPr>
        <w:t xml:space="preserve"> Para el procesamiento "micro" y rápido de los sensores. Si un sensor reporta </w:t>
      </w:r>
      <w:r>
        <w:rPr>
          <w:rFonts w:ascii="Roboto Mono" w:hAnsi="Roboto Mono" w:eastAsia="Roboto Mono" w:cs="Roboto Mono"/>
          <w:color w:val="188038"/>
          <w:rtl w:val="0"/>
        </w:rPr>
        <w:t>TEMP_CRITICA</w:t>
      </w:r>
      <w:r>
        <w:rPr>
          <w:rtl w:val="0"/>
        </w:rPr>
        <w:t>, la Lambda reacciona al instante.</w:t>
      </w:r>
    </w:p>
    <w:p w14:paraId="00000015">
      <w:pPr>
        <w:pStyle w:val="5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6" w:name="_g18bkytbv7hs" w:colFirst="0" w:colLast="0"/>
      <w:bookmarkEnd w:id="6"/>
      <w:r>
        <w:rPr>
          <w:b/>
          <w:bCs/>
          <w:color w:val="000000"/>
          <w:sz w:val="22"/>
          <w:szCs w:val="22"/>
          <w:rtl w:val="0"/>
        </w:rPr>
        <w:t xml:space="preserve">3. Catalogación y Consulta </w:t>
      </w:r>
    </w:p>
    <w:p w14:paraId="00000016">
      <w:pPr>
        <w:numPr>
          <w:ilvl w:val="0"/>
          <w:numId w:val="4"/>
        </w:numPr>
        <w:spacing w:before="240" w:after="0" w:afterAutospacing="0"/>
        <w:ind w:left="720" w:hanging="360"/>
      </w:pPr>
      <w:r>
        <w:rPr>
          <w:b/>
          <w:bCs/>
          <w:rtl w:val="0"/>
        </w:rPr>
        <w:t>AWS Glue Data Catalog:</w:t>
      </w:r>
      <w:r>
        <w:rPr>
          <w:rtl w:val="0"/>
        </w:rPr>
        <w:t xml:space="preserve"> El inventario central de metadatos.</w:t>
      </w:r>
    </w:p>
    <w:p w14:paraId="00000017">
      <w:pPr>
        <w:numPr>
          <w:ilvl w:val="0"/>
          <w:numId w:val="4"/>
        </w:numPr>
        <w:spacing w:before="0" w:beforeAutospacing="0" w:after="240"/>
        <w:ind w:left="720" w:hanging="360"/>
      </w:pPr>
      <w:r>
        <w:rPr>
          <w:b/>
          <w:bCs/>
          <w:rtl w:val="0"/>
        </w:rPr>
        <w:t>Amazon Athena:</w:t>
      </w:r>
      <w:r>
        <w:rPr>
          <w:rtl w:val="0"/>
        </w:rPr>
        <w:t xml:space="preserve"> Para que el equipo de datos pueda hacer consultas SQL sobre S3 sin necesidad de mover los datos a una base de datos relacional costosa.</w:t>
      </w:r>
    </w:p>
    <w:p w14:paraId="00000018">
      <w:pPr>
        <w:pStyle w:val="5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7" w:name="_rzcyj45s24od" w:colFirst="0" w:colLast="0"/>
      <w:bookmarkEnd w:id="7"/>
      <w:r>
        <w:rPr>
          <w:b/>
          <w:bCs/>
          <w:color w:val="000000"/>
          <w:sz w:val="22"/>
          <w:szCs w:val="22"/>
          <w:rtl w:val="0"/>
        </w:rPr>
        <w:t xml:space="preserve">4. Orquestación y Gobernanza </w:t>
      </w:r>
    </w:p>
    <w:p w14:paraId="00000019">
      <w:pPr>
        <w:numPr>
          <w:ilvl w:val="0"/>
          <w:numId w:val="5"/>
        </w:numPr>
        <w:spacing w:before="240" w:after="0" w:afterAutospacing="0"/>
        <w:ind w:left="720" w:hanging="360"/>
        <w:rPr>
          <w:highlight w:val="yellow"/>
        </w:rPr>
      </w:pPr>
      <w:r>
        <w:rPr>
          <w:b/>
          <w:bCs/>
          <w:highlight w:val="yellow"/>
          <w:rtl w:val="0"/>
        </w:rPr>
        <w:t>Apache Airflow (en Amazon ECS/Fargate):</w:t>
      </w:r>
      <w:r>
        <w:rPr>
          <w:highlight w:val="yellow"/>
          <w:rtl w:val="0"/>
        </w:rPr>
        <w:t xml:space="preserve"> programará los Glue Jobs y validará que cada paso se cumpla en el orden correcto.</w:t>
      </w:r>
    </w:p>
    <w:p w14:paraId="0000001A">
      <w:pPr>
        <w:numPr>
          <w:ilvl w:val="0"/>
          <w:numId w:val="5"/>
        </w:numPr>
        <w:spacing w:before="0" w:beforeAutospacing="0" w:after="240"/>
        <w:ind w:left="720" w:hanging="360"/>
      </w:pPr>
      <w:r>
        <w:rPr>
          <w:b/>
          <w:bCs/>
          <w:rtl w:val="0"/>
        </w:rPr>
        <w:t>AWS IAM:</w:t>
      </w:r>
      <w:r>
        <w:rPr>
          <w:rtl w:val="0"/>
        </w:rPr>
        <w:t xml:space="preserve"> Aplicación de políticas de "Privilegio Mínimo" para que cada servicio solo acceda a lo que le corresponde.</w:t>
      </w:r>
    </w:p>
    <w:p w14:paraId="0000001B">
      <w:pPr>
        <w:pStyle w:val="5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8" w:name="_xh00uvu8ogfl" w:colFirst="0" w:colLast="0"/>
      <w:bookmarkEnd w:id="8"/>
      <w:r>
        <w:rPr>
          <w:b/>
          <w:bCs/>
          <w:color w:val="000000"/>
          <w:sz w:val="22"/>
          <w:szCs w:val="22"/>
          <w:rtl w:val="0"/>
        </w:rPr>
        <w:t xml:space="preserve">5. Calidad y Monitoreo </w:t>
      </w:r>
    </w:p>
    <w:p w14:paraId="0000001C">
      <w:pPr>
        <w:numPr>
          <w:ilvl w:val="0"/>
          <w:numId w:val="6"/>
        </w:numPr>
        <w:spacing w:before="240" w:after="0" w:afterAutospacing="0"/>
        <w:ind w:left="720" w:hanging="360"/>
        <w:rPr>
          <w:highlight w:val="yellow"/>
        </w:rPr>
      </w:pPr>
      <w:r>
        <w:rPr>
          <w:b/>
          <w:bCs/>
          <w:highlight w:val="yellow"/>
          <w:rtl w:val="0"/>
        </w:rPr>
        <w:t>AWS Glue Data Quality:</w:t>
      </w:r>
      <w:r>
        <w:rPr>
          <w:highlight w:val="yellow"/>
          <w:rtl w:val="0"/>
        </w:rPr>
        <w:t xml:space="preserve"> Para definir las "Expectativas" (ej. el monto de un pedido no puede ser negativo).</w:t>
      </w:r>
    </w:p>
    <w:p w14:paraId="0000001D">
      <w:pPr>
        <w:numPr>
          <w:ilvl w:val="0"/>
          <w:numId w:val="6"/>
        </w:numPr>
        <w:spacing w:before="0" w:beforeAutospacing="0" w:after="240"/>
        <w:ind w:left="720" w:hanging="360"/>
        <w:rPr>
          <w:highlight w:val="yellow"/>
        </w:rPr>
      </w:pPr>
      <w:r>
        <w:rPr>
          <w:b/>
          <w:bCs/>
          <w:highlight w:val="yellow"/>
          <w:rtl w:val="0"/>
        </w:rPr>
        <w:t>Amazon CloudWatch:</w:t>
      </w:r>
      <w:r>
        <w:rPr>
          <w:highlight w:val="yellow"/>
          <w:rtl w:val="0"/>
        </w:rPr>
        <w:t xml:space="preserve"> Centralización de logs y alarmas para saber si un proceso falló antes de que el cliente se queje.</w:t>
      </w:r>
    </w:p>
    <w:p w14:paraId="0000001E"/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1CF69D99-1280-42C4-B3FD-668D8B448750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3CD86DEF-318F-4B52-ABEF-439E682FAB25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689BEF4E-F277-468C-8DF3-C301A1180994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D059AFFB-F74F-4F80-9D66-873F3AB9A111}"/>
  </w:font>
  <w:font w:name="Roboto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5" w:fontKey="{9E8B28A6-44CC-43C9-B4E6-A414FD205A56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nsid w:val="03D62ECE"/>
    <w:multiLevelType w:val="multilevel"/>
    <w:tmpl w:val="03D62EC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10DC733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903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2026-01-29T02:48:26Z</dcterms:created>
  <dc:creator>David Serna</dc:creator>
  <cp:lastModifiedBy>E juliana R</cp:lastModifiedBy>
  <dcterms:modified xsi:type="dcterms:W3CDTF">2026-01-29T17:51:43Z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2058-12.2.0.23196</vt:lpwstr>
  </property>
  <property fmtid="{D5CDD505-2E9C-101B-9397-08002B2CF9AE}" pid="3" name="ICV">
    <vt:lpwstr>C2EE70D50C6341C79AC508D9A23697A6_12</vt:lpwstr>
  </property>
</Properties>
</file>