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6"/>
          <w:szCs w:val="26"/>
        </w:rPr>
      </w:pPr>
      <w:r w:rsidDel="00000000" w:rsidR="00000000" w:rsidRPr="00000000">
        <w:rPr>
          <w:b w:val="1"/>
          <w:bCs w:val="1"/>
          <w:sz w:val="26"/>
          <w:szCs w:val="26"/>
          <w:rtl w:val="0"/>
        </w:rPr>
        <w:t xml:space="preserve">Inglés</w:t>
      </w:r>
    </w:p>
    <w:p w:rsidR="00000000" w:rsidDel="00000000" w:rsidP="00000000" w:rsidRDefault="00000000" w:rsidRPr="00000000" w14:paraId="00000002">
      <w:pPr>
        <w:rPr/>
      </w:pPr>
      <w:r w:rsidDel="00000000" w:rsidR="00000000" w:rsidRPr="00000000">
        <w:rPr>
          <w:i w:val="1"/>
          <w:iCs w:val="1"/>
          <w:u w:val="single"/>
          <w:rtl w:val="0"/>
        </w:rPr>
        <w:t xml:space="preserve">Samples classification</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We </w:t>
      </w:r>
      <w:r w:rsidDel="00000000" w:rsidR="00000000" w:rsidRPr="00000000">
        <w:rPr>
          <w:rtl w:val="0"/>
        </w:rPr>
        <w:t xml:space="preserve">selected only the samples that met a specific treatment criterion to distinguish between in vitro-generated M1 and M2 macrophages </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NCBI GEO accession GSE30595</w:t>
      </w:r>
      <w:r w:rsidDel="00000000" w:rsidR="00000000" w:rsidRPr="00000000">
        <w:rPr>
          <w:rtl w:val="0"/>
        </w:rPr>
        <w:t xml:space="preserve">). Specifically, we filtered samples based on differentiation protocols towards M1 macrophages (GM-CSF/LPS/IFN) or M2 macrophages (M-CSF + IL-4/13) over a six-day period. This resulted in one set of 15 samples for subsequent enrichment analysis, differential expression analysis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4">
      <w:pPr>
        <w:spacing w:after="240" w:before="240" w:lineRule="auto"/>
        <w:rPr>
          <w:i w:val="1"/>
          <w:iCs w:val="1"/>
          <w:u w:val="single"/>
        </w:rPr>
      </w:pPr>
      <w:r w:rsidDel="00000000" w:rsidR="00000000" w:rsidRPr="00000000">
        <w:rPr>
          <w:rtl w:val="0"/>
        </w:rPr>
        <w:t xml:space="preserve">We used the expression of Y chromosome genes </w:t>
      </w:r>
      <w:r w:rsidDel="00000000" w:rsidR="00000000" w:rsidRPr="00000000">
        <w:rPr>
          <w:rtl w:val="0"/>
        </w:rPr>
        <w:t xml:space="preserve">detected by the microarray</w:t>
      </w:r>
      <w:r w:rsidDel="00000000" w:rsidR="00000000" w:rsidRPr="00000000">
        <w:rPr>
          <w:rtl w:val="0"/>
        </w:rPr>
        <w:t xml:space="preserve"> to determine the sex of the selected samples. (</w:t>
      </w:r>
      <w:r w:rsidDel="00000000" w:rsidR="00000000" w:rsidRPr="00000000">
        <w:rPr>
          <w:highlight w:val="yellow"/>
          <w:rtl w:val="0"/>
        </w:rPr>
        <w:t xml:space="preserve">data not shown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Gene Set </w:t>
      </w:r>
      <w:r w:rsidDel="00000000" w:rsidR="00000000" w:rsidRPr="00000000">
        <w:rPr>
          <w:rtl w:val="0"/>
        </w:rPr>
        <w:t xml:space="preserve">Enrichment Analysis  (GSEA) was conducted </w:t>
      </w:r>
      <w:r w:rsidDel="00000000" w:rsidR="00000000" w:rsidRPr="00000000">
        <w:rPr>
          <w:rtl w:val="0"/>
        </w:rPr>
        <w:t xml:space="preserve">with the </w:t>
      </w:r>
      <w:r w:rsidDel="00000000" w:rsidR="00000000" w:rsidRPr="00000000">
        <w:rPr>
          <w:i w:val="1"/>
          <w:iCs w:val="1"/>
          <w:rtl w:val="0"/>
        </w:rPr>
        <w:t xml:space="preserve">gseapy</w:t>
      </w:r>
      <w:r w:rsidDel="00000000" w:rsidR="00000000" w:rsidRPr="00000000">
        <w:rPr>
          <w:i w:val="1"/>
          <w:iCs w:val="1"/>
          <w:rtl w:val="0"/>
        </w:rPr>
        <w:t xml:space="preserve"> </w:t>
      </w:r>
      <w:r w:rsidDel="00000000" w:rsidR="00000000" w:rsidRPr="00000000">
        <w:rPr>
          <w:rtl w:val="0"/>
        </w:rPr>
        <w:t xml:space="preserve">package in Python for differentially expressed genes between female and male. </w:t>
      </w:r>
    </w:p>
    <w:p w:rsidR="00000000" w:rsidDel="00000000" w:rsidP="00000000" w:rsidRDefault="00000000" w:rsidRPr="00000000" w14:paraId="00000006">
      <w:pPr>
        <w:spacing w:after="240" w:before="240" w:lineRule="auto"/>
        <w:rPr/>
      </w:pPr>
      <w:r w:rsidDel="00000000" w:rsidR="00000000" w:rsidRPr="00000000">
        <w:rPr>
          <w:rtl w:val="0"/>
        </w:rPr>
        <w:t xml:space="preserve">Finally, we performed differential expression analysis and contrasting between female </w:t>
      </w:r>
      <w:r w:rsidDel="00000000" w:rsidR="00000000" w:rsidRPr="00000000">
        <w:rPr>
          <w:i w:val="1"/>
          <w:iCs w:val="1"/>
          <w:rtl w:val="0"/>
        </w:rPr>
        <w:t xml:space="preserve">and</w:t>
      </w:r>
      <w:r w:rsidDel="00000000" w:rsidR="00000000" w:rsidRPr="00000000">
        <w:rPr>
          <w:rtl w:val="0"/>
        </w:rPr>
        <w:t xml:space="preserve"> male samples in each activation profile using the </w:t>
      </w:r>
      <w:r w:rsidDel="00000000" w:rsidR="00000000" w:rsidRPr="00000000">
        <w:rPr>
          <w:i w:val="1"/>
          <w:iCs w:val="1"/>
          <w:rtl w:val="0"/>
        </w:rPr>
        <w:t xml:space="preserve">limma </w:t>
      </w:r>
      <w:r w:rsidDel="00000000" w:rsidR="00000000" w:rsidRPr="00000000">
        <w:rPr>
          <w:rtl w:val="0"/>
        </w:rPr>
        <w:t xml:space="preserve">package in R (lfc = 0.58, </w:t>
      </w:r>
      <w:r w:rsidDel="00000000" w:rsidR="00000000" w:rsidRPr="00000000">
        <w:rPr>
          <w:rtl w:val="0"/>
        </w:rPr>
        <w:t xml:space="preserve">P adjusted value = 0.05</w:t>
      </w:r>
      <w:r w:rsidDel="00000000" w:rsidR="00000000" w:rsidRPr="00000000">
        <w:rPr>
          <w:rtl w:val="0"/>
        </w:rPr>
        <w:t xml:space="preserve">). Enrichment analysis dot plots and heat maps were obtained using GSEA and graphpad, respectively.</w:t>
      </w:r>
    </w:p>
    <w:p w:rsidR="00000000" w:rsidDel="00000000" w:rsidP="00000000" w:rsidRDefault="00000000" w:rsidRPr="00000000" w14:paraId="0000000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Español</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i w:val="1"/>
          <w:iCs w:val="1"/>
          <w:u w:val="single"/>
        </w:rPr>
      </w:pPr>
      <w:r w:rsidDel="00000000" w:rsidR="00000000" w:rsidRPr="00000000">
        <w:rPr>
          <w:i w:val="1"/>
          <w:iCs w:val="1"/>
          <w:u w:val="single"/>
          <w:rtl w:val="0"/>
        </w:rPr>
        <w:t xml:space="preserve">Clasificación de las muestras</w:t>
      </w:r>
    </w:p>
    <w:p w:rsidR="00000000" w:rsidDel="00000000" w:rsidP="00000000" w:rsidRDefault="00000000" w:rsidRPr="00000000" w14:paraId="0000000B">
      <w:pPr>
        <w:spacing w:after="240" w:before="240" w:lineRule="auto"/>
        <w:rPr/>
      </w:pPr>
      <w:r w:rsidDel="00000000" w:rsidR="00000000" w:rsidRPr="00000000">
        <w:rPr>
          <w:rtl w:val="0"/>
        </w:rPr>
        <w:t xml:space="preserve">Obtuvimos la matriz de expresión utilizando la aplicación web de GenePattern, especificando el experimento utilizado (NCBI GEO accession GSE30595) y seleccionando todas las muestras disponibles (75). Posteriormente, filtramos manualmente las muestras según el tratamiento aplicado a cada una, con el fin de distinguir entre macrófagos M1 y M2 generados in vitro. Se emplearon dos criterios, dando como resultado dos conjuntos de muestras.</w:t>
      </w:r>
    </w:p>
    <w:p w:rsidR="00000000" w:rsidDel="00000000" w:rsidP="00000000" w:rsidRDefault="00000000" w:rsidRPr="00000000" w14:paraId="0000000C">
      <w:pPr>
        <w:spacing w:after="240" w:before="240" w:lineRule="auto"/>
        <w:rPr/>
      </w:pPr>
      <w:r w:rsidDel="00000000" w:rsidR="00000000" w:rsidRPr="00000000">
        <w:rPr>
          <w:rtl w:val="0"/>
        </w:rPr>
        <w:t xml:space="preserve">El primer criterio utilizado para seleccionar las muestras fue el criterio de diferenciación clásica de los macrófagos. La aplicación del solvente "GM-CSF/LPS/IFN" induce la diferenciación hacia macrófagos M1 (9), mientras que "M-CSF + E/P/IL-10/4/13" conduce a la diferenciación hacia macrófagos M2 (6). En consecuencia, se obtuvieron 15 muestras para análisis posteriores de enriquecimiento, expresión diferencial y contrastes génicos.</w:t>
      </w:r>
    </w:p>
    <w:p w:rsidR="00000000" w:rsidDel="00000000" w:rsidP="00000000" w:rsidRDefault="00000000" w:rsidRPr="00000000" w14:paraId="0000000D">
      <w:pPr>
        <w:spacing w:after="240" w:before="240" w:lineRule="auto"/>
        <w:rPr>
          <w:i w:val="1"/>
          <w:iCs w:val="1"/>
          <w:u w:val="single"/>
        </w:rPr>
      </w:pPr>
      <w:r w:rsidDel="00000000" w:rsidR="00000000" w:rsidRPr="00000000">
        <w:rPr>
          <w:rtl w:val="0"/>
        </w:rPr>
        <w:t xml:space="preserve">El segundo criterio dictó que las muestras clasificadas como "GM" (6) deberían mostrar una tendencia hacia un perfil de macrófago M1, mientras que las clasificadas como "M" (6) deberían inclinarse hacia un perfil de macrófago M2. Esto resultó en un total de 12 muestras para el mismo análisis empleado en las muestras obtenidas con el criterio anterior.</w:t>
      </w:r>
      <w:r w:rsidDel="00000000" w:rsidR="00000000" w:rsidRPr="00000000">
        <w:rPr>
          <w:rtl w:val="0"/>
        </w:rPr>
      </w:r>
    </w:p>
    <w:p w:rsidR="00000000" w:rsidDel="00000000" w:rsidP="00000000" w:rsidRDefault="00000000" w:rsidRPr="00000000" w14:paraId="0000000E">
      <w:pPr>
        <w:spacing w:after="240" w:before="240" w:lineRule="auto"/>
        <w:rPr>
          <w:sz w:val="21"/>
          <w:szCs w:val="21"/>
        </w:rPr>
      </w:pPr>
      <w:r w:rsidDel="00000000" w:rsidR="00000000" w:rsidRPr="00000000">
        <w:rPr>
          <w:rtl w:val="0"/>
        </w:rPr>
        <w:t xml:space="preserve">Para determinar el sexo de cada de las muestras seleccionadas empleamos la funcion </w:t>
      </w:r>
      <w:r w:rsidDel="00000000" w:rsidR="00000000" w:rsidRPr="00000000">
        <w:rPr>
          <w:rFonts w:ascii="Courier New" w:cs="Courier New" w:eastAsia="Courier New" w:hAnsi="Courier New"/>
          <w:sz w:val="21"/>
          <w:szCs w:val="21"/>
          <w:rtl w:val="0"/>
        </w:rPr>
        <w:t xml:space="preserve">pheatmap </w:t>
      </w:r>
      <w:r w:rsidDel="00000000" w:rsidR="00000000" w:rsidRPr="00000000">
        <w:rPr>
          <w:sz w:val="21"/>
          <w:szCs w:val="21"/>
          <w:rtl w:val="0"/>
        </w:rPr>
        <w:t xml:space="preserve">en R </w:t>
      </w:r>
      <w:r w:rsidDel="00000000" w:rsidR="00000000" w:rsidRPr="00000000">
        <w:rPr>
          <w:rtl w:val="0"/>
        </w:rPr>
        <w:t xml:space="preserve">con el fin de generar un gráfico que exponga la expresión de genes correspondientes al cromosoma Y (</w:t>
      </w:r>
      <w:r w:rsidDel="00000000" w:rsidR="00000000" w:rsidRPr="00000000">
        <w:rPr>
          <w:rFonts w:ascii="Courier New" w:cs="Courier New" w:eastAsia="Courier New" w:hAnsi="Courier New"/>
          <w:i w:val="1"/>
          <w:iCs w:val="1"/>
          <w:sz w:val="21"/>
          <w:szCs w:val="21"/>
          <w:rtl w:val="0"/>
        </w:rPr>
        <w:t xml:space="preserve">"UTY"</w:t>
      </w:r>
      <w:r w:rsidDel="00000000" w:rsidR="00000000" w:rsidRPr="00000000">
        <w:rPr>
          <w:rFonts w:ascii="Courier New" w:cs="Courier New" w:eastAsia="Courier New" w:hAnsi="Courier New"/>
          <w:i w:val="1"/>
          <w:iCs w:val="1"/>
          <w:sz w:val="21"/>
          <w:szCs w:val="21"/>
          <w:rtl w:val="0"/>
        </w:rPr>
        <w:t xml:space="preserve">, </w:t>
      </w:r>
      <w:r w:rsidDel="00000000" w:rsidR="00000000" w:rsidRPr="00000000">
        <w:rPr>
          <w:rFonts w:ascii="Courier New" w:cs="Courier New" w:eastAsia="Courier New" w:hAnsi="Courier New"/>
          <w:i w:val="1"/>
          <w:iCs w:val="1"/>
          <w:sz w:val="21"/>
          <w:szCs w:val="21"/>
          <w:rtl w:val="0"/>
        </w:rPr>
        <w:t xml:space="preserve">"TMSB4Y"</w:t>
      </w:r>
      <w:r w:rsidDel="00000000" w:rsidR="00000000" w:rsidRPr="00000000">
        <w:rPr>
          <w:rFonts w:ascii="Courier New" w:cs="Courier New" w:eastAsia="Courier New" w:hAnsi="Courier New"/>
          <w:i w:val="1"/>
          <w:iCs w:val="1"/>
          <w:sz w:val="21"/>
          <w:szCs w:val="21"/>
          <w:rtl w:val="0"/>
        </w:rPr>
        <w:t xml:space="preserve">, </w:t>
      </w:r>
      <w:r w:rsidDel="00000000" w:rsidR="00000000" w:rsidRPr="00000000">
        <w:rPr>
          <w:rFonts w:ascii="Courier New" w:cs="Courier New" w:eastAsia="Courier New" w:hAnsi="Courier New"/>
          <w:i w:val="1"/>
          <w:iCs w:val="1"/>
          <w:sz w:val="21"/>
          <w:szCs w:val="21"/>
          <w:rtl w:val="0"/>
        </w:rPr>
        <w:t xml:space="preserve">"EIF1AY"</w:t>
      </w:r>
      <w:r w:rsidDel="00000000" w:rsidR="00000000" w:rsidRPr="00000000">
        <w:rPr>
          <w:rFonts w:ascii="Courier New" w:cs="Courier New" w:eastAsia="Courier New" w:hAnsi="Courier New"/>
          <w:i w:val="1"/>
          <w:iCs w:val="1"/>
          <w:sz w:val="21"/>
          <w:szCs w:val="21"/>
          <w:rtl w:val="0"/>
        </w:rPr>
        <w:t xml:space="preserve">, </w:t>
      </w:r>
      <w:r w:rsidDel="00000000" w:rsidR="00000000" w:rsidRPr="00000000">
        <w:rPr>
          <w:rFonts w:ascii="Courier New" w:cs="Courier New" w:eastAsia="Courier New" w:hAnsi="Courier New"/>
          <w:i w:val="1"/>
          <w:iCs w:val="1"/>
          <w:sz w:val="21"/>
          <w:szCs w:val="21"/>
          <w:rtl w:val="0"/>
        </w:rPr>
        <w:t xml:space="preserve">"USP9Y"</w:t>
      </w:r>
      <w:r w:rsidDel="00000000" w:rsidR="00000000" w:rsidRPr="00000000">
        <w:rPr>
          <w:rFonts w:ascii="Courier New" w:cs="Courier New" w:eastAsia="Courier New" w:hAnsi="Courier New"/>
          <w:i w:val="1"/>
          <w:iCs w:val="1"/>
          <w:sz w:val="21"/>
          <w:szCs w:val="21"/>
          <w:rtl w:val="0"/>
        </w:rPr>
        <w:t xml:space="preserve">, </w:t>
      </w:r>
      <w:r w:rsidDel="00000000" w:rsidR="00000000" w:rsidRPr="00000000">
        <w:rPr>
          <w:rFonts w:ascii="Courier New" w:cs="Courier New" w:eastAsia="Courier New" w:hAnsi="Courier New"/>
          <w:i w:val="1"/>
          <w:iCs w:val="1"/>
          <w:sz w:val="21"/>
          <w:szCs w:val="21"/>
          <w:rtl w:val="0"/>
        </w:rPr>
        <w:t xml:space="preserve">"RBMY1A1"</w:t>
      </w:r>
      <w:r w:rsidDel="00000000" w:rsidR="00000000" w:rsidRPr="00000000">
        <w:rPr>
          <w:rFonts w:ascii="Courier New" w:cs="Courier New" w:eastAsia="Courier New" w:hAnsi="Courier New"/>
          <w:sz w:val="21"/>
          <w:szCs w:val="21"/>
          <w:rtl w:val="0"/>
        </w:rPr>
        <w:t xml:space="preserve">)</w:t>
      </w:r>
      <w:r w:rsidDel="00000000" w:rsidR="00000000" w:rsidRPr="00000000">
        <w:rPr>
          <w:sz w:val="21"/>
          <w:szCs w:val="21"/>
          <w:rtl w:val="0"/>
        </w:rPr>
        <w:t xml:space="preserve">dependiendo de cada muestra. Más aún, recurrimos a la función ggplot para producir un PCA plot que exhiba el agrupamiento de las muestras según la expresión de genes del cromosoma Y .</w:t>
      </w:r>
    </w:p>
    <w:p w:rsidR="00000000" w:rsidDel="00000000" w:rsidP="00000000" w:rsidRDefault="00000000" w:rsidRPr="00000000" w14:paraId="0000000F">
      <w:pPr>
        <w:rPr>
          <w:i w:val="1"/>
          <w:iCs w:val="1"/>
          <w:u w:val="single"/>
        </w:rPr>
      </w:pPr>
      <w:r w:rsidDel="00000000" w:rsidR="00000000" w:rsidRPr="00000000">
        <w:rPr>
          <w:i w:val="1"/>
          <w:iCs w:val="1"/>
          <w:u w:val="single"/>
          <w:rtl w:val="0"/>
        </w:rPr>
        <w:t xml:space="preserve">Análisis de enriquecimiento</w:t>
      </w:r>
    </w:p>
    <w:p w:rsidR="00000000" w:rsidDel="00000000" w:rsidP="00000000" w:rsidRDefault="00000000" w:rsidRPr="00000000" w14:paraId="00000010">
      <w:pPr>
        <w:spacing w:after="240" w:before="240" w:lineRule="auto"/>
        <w:rPr>
          <w:rFonts w:ascii="Courier New" w:cs="Courier New" w:eastAsia="Courier New" w:hAnsi="Courier New"/>
          <w:sz w:val="21"/>
          <w:szCs w:val="21"/>
        </w:rPr>
      </w:pPr>
      <w:r w:rsidDel="00000000" w:rsidR="00000000" w:rsidRPr="00000000">
        <w:rPr>
          <w:sz w:val="21"/>
          <w:szCs w:val="21"/>
          <w:rtl w:val="0"/>
        </w:rPr>
        <w:t xml:space="preserve">Se realizó un análisis de enriquecimiento a través del uso de funciones del paquete </w:t>
      </w:r>
      <w:r w:rsidDel="00000000" w:rsidR="00000000" w:rsidRPr="00000000">
        <w:rPr>
          <w:i w:val="1"/>
          <w:iCs w:val="1"/>
          <w:sz w:val="21"/>
          <w:szCs w:val="21"/>
          <w:rtl w:val="0"/>
        </w:rPr>
        <w:t xml:space="preserve">gseapy</w:t>
      </w:r>
      <w:r w:rsidDel="00000000" w:rsidR="00000000" w:rsidRPr="00000000">
        <w:rPr>
          <w:sz w:val="21"/>
          <w:szCs w:val="21"/>
          <w:rtl w:val="0"/>
        </w:rPr>
        <w:t xml:space="preserve"> en Python. Una vez obtenida la matriz de expresión diferencial bajo la condición female vs male (lfc = 0 y p-valor = 1), se utilizó la función</w:t>
      </w:r>
      <w:r w:rsidDel="00000000" w:rsidR="00000000" w:rsidRPr="00000000">
        <w:rPr>
          <w:i w:val="1"/>
          <w:iCs w:val="1"/>
          <w:sz w:val="21"/>
          <w:szCs w:val="21"/>
          <w:rtl w:val="0"/>
        </w:rPr>
        <w:t xml:space="preserve"> </w:t>
      </w:r>
      <w:r w:rsidDel="00000000" w:rsidR="00000000" w:rsidRPr="00000000">
        <w:rPr>
          <w:rFonts w:ascii="Courier New" w:cs="Courier New" w:eastAsia="Courier New" w:hAnsi="Courier New"/>
          <w:i w:val="1"/>
          <w:iCs w:val="1"/>
          <w:sz w:val="21"/>
          <w:szCs w:val="21"/>
          <w:rtl w:val="0"/>
        </w:rPr>
        <w:t xml:space="preserve">GSEA_analyze</w:t>
      </w:r>
      <w:r w:rsidDel="00000000" w:rsidR="00000000" w:rsidRPr="00000000">
        <w:rPr>
          <w:rFonts w:ascii="Courier New" w:cs="Courier New" w:eastAsia="Courier New" w:hAnsi="Courier New"/>
          <w:i w:val="1"/>
          <w:iCs w:val="1"/>
          <w:sz w:val="21"/>
          <w:szCs w:val="21"/>
          <w:rtl w:val="0"/>
        </w:rPr>
        <w:t xml:space="preserve"> </w:t>
      </w:r>
      <w:r w:rsidDel="00000000" w:rsidR="00000000" w:rsidRPr="00000000">
        <w:rPr>
          <w:sz w:val="21"/>
          <w:szCs w:val="21"/>
          <w:rtl w:val="0"/>
        </w:rPr>
        <w:t xml:space="preserve">para generar la lista de genes pre-rankeados y luego graficarlos mediante la función </w:t>
      </w:r>
      <w:r w:rsidDel="00000000" w:rsidR="00000000" w:rsidRPr="00000000">
        <w:rPr>
          <w:rFonts w:ascii="Courier New" w:cs="Courier New" w:eastAsia="Courier New" w:hAnsi="Courier New"/>
          <w:i w:val="1"/>
          <w:iCs w:val="1"/>
          <w:sz w:val="21"/>
          <w:szCs w:val="21"/>
          <w:rtl w:val="0"/>
        </w:rPr>
        <w:t xml:space="preserve">GSEA_dotplot</w:t>
      </w:r>
      <w:r w:rsidDel="00000000" w:rsidR="00000000" w:rsidRPr="00000000">
        <w:rPr>
          <w:sz w:val="21"/>
          <w:szCs w:val="21"/>
          <w:rtl w:val="0"/>
        </w:rPr>
        <w:t xml:space="preserve">, según las vías metabólicas de interés de las bases de datos </w:t>
      </w:r>
      <w:r w:rsidDel="00000000" w:rsidR="00000000" w:rsidRPr="00000000">
        <w:rPr>
          <w:sz w:val="21"/>
          <w:szCs w:val="21"/>
          <w:rtl w:val="0"/>
        </w:rPr>
        <w:t xml:space="preserve">empleadas</w:t>
      </w:r>
      <w:r w:rsidDel="00000000" w:rsidR="00000000" w:rsidRPr="00000000">
        <w:rPr>
          <w:sz w:val="21"/>
          <w:szCs w:val="21"/>
          <w:rtl w:val="0"/>
        </w:rPr>
        <w:t xml:space="preserve"> (</w:t>
      </w:r>
      <w:r w:rsidDel="00000000" w:rsidR="00000000" w:rsidRPr="00000000">
        <w:rPr>
          <w:rFonts w:ascii="Courier New" w:cs="Courier New" w:eastAsia="Courier New" w:hAnsi="Courier New"/>
          <w:sz w:val="21"/>
          <w:szCs w:val="21"/>
          <w:rtl w:val="0"/>
        </w:rPr>
        <w:t xml:space="preserve">"MSigDB_Hallmark_2020"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"GO_Biological_Process_2023"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"GO_Cellular_Component_2023"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"GO_Molecular_Function_2023"</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"KEGG_2021_Human"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WikiPathway_2021_Human”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Reactome_2022”)</w:t>
      </w:r>
      <w:r w:rsidDel="00000000" w:rsidR="00000000" w:rsidRPr="00000000">
        <w:rPr>
          <w:rtl w:val="0"/>
        </w:rPr>
      </w:r>
    </w:p>
    <w:p w:rsidR="00000000" w:rsidDel="00000000" w:rsidP="00000000" w:rsidRDefault="00000000" w:rsidRPr="00000000" w14:paraId="00000011">
      <w:pPr>
        <w:rPr/>
      </w:pPr>
      <w:r w:rsidDel="00000000" w:rsidR="00000000" w:rsidRPr="00000000">
        <w:rPr>
          <w:i w:val="1"/>
          <w:iCs w:val="1"/>
          <w:u w:val="single"/>
          <w:rtl w:val="0"/>
        </w:rPr>
        <w:t xml:space="preserve">Expresión diferencial </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u w:val="single"/>
        </w:rPr>
      </w:pPr>
      <w:r w:rsidDel="00000000" w:rsidR="00000000" w:rsidRPr="00000000">
        <w:rPr>
          <w:rtl w:val="0"/>
        </w:rPr>
        <w:t xml:space="preserve">Utilizamos nuevamente dos criterios para obtener la expresión diferencial propiamente dicha entre dos condiciones mediante el uso del paquete “limma” de R. El primer resultado de genes diferencialmente expresados surgió del contraste entre muestras femeninas contra muestras masculinas, utilizando la función </w:t>
      </w:r>
      <w:r w:rsidDel="00000000" w:rsidR="00000000" w:rsidRPr="00000000">
        <w:rPr>
          <w:rtl w:val="0"/>
        </w:rPr>
        <w:t xml:space="preserve">topTables</w:t>
      </w:r>
      <w:r w:rsidDel="00000000" w:rsidR="00000000" w:rsidRPr="00000000">
        <w:rPr>
          <w:rtl w:val="0"/>
        </w:rPr>
        <w:t xml:space="preserve"> (lfc = 0.58, p-valor = 0.05). Por otro lado, también obtuvimos los genes diferencialmente expresados según la condición de M1 y M2 de la misma forma, </w:t>
      </w:r>
      <w:r w:rsidDel="00000000" w:rsidR="00000000" w:rsidRPr="00000000">
        <w:rPr>
          <w:rtl w:val="0"/>
        </w:rPr>
        <w:t xml:space="preserve">topTables</w:t>
      </w:r>
      <w:r w:rsidDel="00000000" w:rsidR="00000000" w:rsidRPr="00000000">
        <w:rPr>
          <w:rtl w:val="0"/>
        </w:rPr>
        <w:t xml:space="preserve"> (lfc = 0.58, p-valor = 0.05). </w:t>
      </w:r>
      <w:r w:rsidDel="00000000" w:rsidR="00000000" w:rsidRPr="00000000">
        <w:rPr>
          <w:rtl w:val="0"/>
        </w:rPr>
      </w:r>
    </w:p>
    <w:p w:rsidR="00000000" w:rsidDel="00000000" w:rsidP="00000000" w:rsidRDefault="00000000" w:rsidRPr="00000000" w14:paraId="00000014">
      <w:pPr>
        <w:rPr>
          <w:i w:val="1"/>
          <w:iCs w:val="1"/>
          <w:u w:val="single"/>
        </w:rPr>
      </w:pPr>
      <w:r w:rsidDel="00000000" w:rsidR="00000000" w:rsidRPr="00000000">
        <w:rPr>
          <w:rtl w:val="0"/>
        </w:rPr>
      </w:r>
    </w:p>
    <w:p w:rsidR="00000000" w:rsidDel="00000000" w:rsidP="00000000" w:rsidRDefault="00000000" w:rsidRPr="00000000" w14:paraId="00000015">
      <w:pPr>
        <w:rPr>
          <w:i w:val="1"/>
          <w:iCs w:val="1"/>
          <w:u w:val="single"/>
        </w:rPr>
      </w:pPr>
      <w:r w:rsidDel="00000000" w:rsidR="00000000" w:rsidRPr="00000000">
        <w:rPr>
          <w:rtl w:val="0"/>
        </w:rPr>
        <w:t xml:space="preserve">Una vez obtenidos los genes diferencialmente expresados, para cada condición, se determinó cuales de estos genes se encuentran sobre-expresados en la condición propuesta (femenino, masculino, M1 o M2) y a su vez eran parte de una </w:t>
      </w:r>
      <w:r w:rsidDel="00000000" w:rsidR="00000000" w:rsidRPr="00000000">
        <w:rPr>
          <w:rtl w:val="0"/>
        </w:rPr>
        <w:t xml:space="preserve">vía metabólica de interés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6">
      <w:pPr>
        <w:rPr>
          <w:i w:val="1"/>
          <w:iCs w:val="1"/>
          <w:u w:val="single"/>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