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4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KLTu Native / Product KEM — Lattice Estimator Method One-Pager</w:t>
      </w:r>
    </w:p>
    <w:p>
      <w:pPr>
        <w:spacing w:after="20" w:before="0" w:line="254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Classical attack costs for KLTu-KEM-768 (k=3) &amp; KLTu-KEM-1024 (k=4)</w:t>
      </w:r>
    </w:p>
    <w:p>
      <w:pPr>
        <w:spacing w:after="80" w:before="0" w:line="254" w:lineRule="auto"/>
        <w:jc w:val="center"/>
      </w:pPr>
      <w:r>
        <w:rPr>
          <w:rFonts w:ascii="Times New Roman" w:hAnsi="Times New Roman" w:eastAsia="Times New Roman"/>
          <w:b w:val="0"/>
          <w:i w:val="0"/>
          <w:sz w:val="18"/>
        </w:rPr>
        <w:t>Jinhyuk Fred CHUNG, PhD  ·  Xylonix Pte. Ltd.  ·  Source run 2026-08-02  ·  Sheet 7 Aug 2026</w:t>
      </w: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1. Purpose</w:t>
      </w:r>
    </w:p>
    <w:p>
      <w:pPr>
        <w:spacing w:after="60" w:before="0" w:line="254" w:lineRule="auto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Record authentic lattice-estimator costs for KLTu product KEM parameter sets at module ranks k=3 and k=4 (aligned with security levels 3 and 5 in the product API), so counterparties can audit the claim that classical attack cost is not inferior to NIST Category 3 / 5 classical scales. Numbers below are taken only from the SageMath + malb/lattice-estimator run on host 100.81.1.28 dated 2026-08-02. No values are interpolated.</w:t>
      </w: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2. Parameters under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Set</w:t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Module rank k</w:t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q</w:t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η (CBD)</w:t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Ring degree N (implied)</w:t>
            </w:r>
          </w:p>
        </w:tc>
        <w:tc>
          <w:tcPr>
            <w:tcW w:type="dxa" w:w="163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API level class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KLTu-KEM-768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3329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256 (platform ring)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Level 3 / Cat-3 scale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KLTu-KEM-1024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3329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256 (platform ring)</w:t>
            </w:r>
          </w:p>
        </w:tc>
        <w:tc>
          <w:tcPr>
            <w:tcW w:type="dxa" w:w="163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Level 5 / Cat-5 scale</w:t>
            </w:r>
          </w:p>
        </w:tc>
      </w:tr>
    </w:tbl>
    <w:p>
      <w:pPr>
        <w:spacing w:after="60"/>
      </w:pPr>
    </w:p>
    <w:p>
      <w:pPr>
        <w:spacing w:after="60" w:before="0" w:line="254" w:lineRule="auto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These are product / native-ring KEM instances (q=3329 family), not a claim that the object is bit-identical to FIPS 203 ML-KEM wire in every encoding. FIPS interop remains a separate plane.</w:t>
      </w: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3. Estimator method (as executed)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Engine: /usr/bin/sage with malb/lattice-estimator (Authentic SageMath run).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Host: bh-node-01 (100.81.1.28); execution date 2026-08-02.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Attacks reported: primal uSVP, BDD, dual, dual-hybrid, coded-BKW (full estimate); rough usvp/dual_hybrid also logged.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Cost metric: rop (bit operations, log2); BKZ block size β reported per attack.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Tightest classical bound used for headline comparison: dual-hybrid rop (lowest among lattice reduction attacks in the full estimate).</w:t>
      </w: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4. Full-estimate classical results (pinned)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Attack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KEM-768 (k=3) β / rop</w:t>
            </w:r>
          </w:p>
        </w:tc>
        <w:tc>
          <w:tcPr>
            <w:tcW w:type="dxa" w:w="326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KEM-1024 (k=4) β / rop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uSVP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624 / 2^204.9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874 / 2^275.1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BDD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606 / 2^201.0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855 / 2^270.7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Dual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654 / 2^214.3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918 / 2^288.5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Dual-hybrid (tightest)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589 / 2^196.4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823 / 2^262.3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Coded-BKW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 / 2^238.3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 / 2^315.0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Root Hermite δ0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1.002902</w:t>
            </w:r>
          </w:p>
        </w:tc>
        <w:tc>
          <w:tcPr>
            <w:tcW w:type="dxa" w:w="326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1.002262</w:t>
            </w:r>
          </w:p>
        </w:tc>
      </w:tr>
    </w:tbl>
    <w:p>
      <w:pPr>
        <w:spacing w:after="60"/>
      </w:pP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5. Headline classical costs vs NIST 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Set</w:t>
            </w:r>
          </w:p>
        </w:tc>
        <w:tc>
          <w:tcPr>
            <w:tcW w:type="dxa" w:w="2448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Tightest classical rop</w:t>
            </w:r>
          </w:p>
        </w:tc>
        <w:tc>
          <w:tcPr>
            <w:tcW w:type="dxa" w:w="2448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vs Cat 3 (~2^192)</w:t>
            </w:r>
          </w:p>
        </w:tc>
        <w:tc>
          <w:tcPr>
            <w:tcW w:type="dxa" w:w="2448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vs Cat 5 (~2^256)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KLTu-KEM-768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2^196.4 (dual-hybrid)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Not inferior (≈ +4.4 bits)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Below Cat 5 (expected for L3)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KLTu-KEM-1024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2^262.3 (dual-hybrid)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Well above Cat 3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Not inferior (≈ +6.3 bits)</w:t>
            </w:r>
          </w:p>
        </w:tc>
      </w:tr>
    </w:tbl>
    <w:p>
      <w:pPr>
        <w:spacing w:after="60"/>
      </w:pPr>
    </w:p>
    <w:p>
      <w:pPr>
        <w:spacing w:after="60" w:before="0" w:line="254" w:lineRule="auto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On this run, the dual-hybrid classical costs match the same numerical pins used for Native DSA Tier M / H in the companion DSA estimator sheet (2^196.4 / 2^262.3), consistent with a shared q=3329, N=256 module-lattice family. That numerical coincidence is reported; it is not by itself a reduction proof between KEM and DSA.</w:t>
      </w: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6. Rough vs full estimate (transparency)</w:t>
      </w:r>
    </w:p>
    <w:p>
      <w:pPr>
        <w:spacing w:after="60" w:before="0" w:line="254" w:lineRule="auto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Rough estimates in the same log are lower (e.g. KEM-768 rough usvp ≈2^182.2, dual-hybrid ≈2^174.3). Headline claims in this sheet use the full-estimate dual-hybrid figures only. Callers must not mix rough and full rows when citing security.</w:t>
      </w: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7. Quantum margin</w:t>
      </w:r>
    </w:p>
    <w:p>
      <w:pPr>
        <w:spacing w:after="60" w:before="0" w:line="254" w:lineRule="auto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This export does not include a separate quantum cost-model column from lattice-estimator. Quantum margin remains structural (module-LWE hardness; quantum lattice speedups are not full Grover square-root of classical rop in standard Kyber-style analyses). A quantum pass under an explicit model is a follow-on, not invented here.</w:t>
      </w: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8. Explicit non-claims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Not a FIPS 203 certificate or claim that product KEM wire equals ML-KEM-768/1024 in all encodings.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Not a NIST assignment of Category 3/5 labels to “KLTu-KEM” as a standardized algorithm name.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Estimator cost ≠ IND-CCA proof; it costs the underlying LWE instance under known classical attacks in malb/lattice-estimator.</w:t>
      </w:r>
    </w:p>
    <w:p>
      <w:pPr>
        <w:pStyle w:val="ListBullet"/>
        <w:spacing w:after="20" w:line="252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Rough-estimate rows are not headline security levels.</w:t>
      </w: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9. Authority &amp; 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Item</w:t>
            </w:r>
          </w:p>
        </w:tc>
        <w:tc>
          <w:tcPr>
            <w:tcW w:type="dxa" w:w="4896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Value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Source report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KLTU_KEM_LATTICE_ESTIMATOR_REPORT.md (SageMath full estimate)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Tool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SageMath + malb/lattice-estimator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Run date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2026-08-02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Host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100.81.1.28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Headline pins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768: 2^196.4 dual-hybrid; 1024: 2^262.3 dual-hybrid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Related preprint (topology)</w:t>
            </w:r>
          </w:p>
        </w:tc>
        <w:tc>
          <w:tcPr>
            <w:tcW w:type="dxa" w:w="489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doi:10.5281/zenodo.21719064</w:t>
            </w:r>
          </w:p>
        </w:tc>
      </w:tr>
    </w:tbl>
    <w:p>
      <w:pPr>
        <w:spacing w:after="60"/>
      </w:pPr>
    </w:p>
    <w:p>
      <w:pPr>
        <w:spacing w:after="40" w:before="0" w:line="254" w:lineRule="auto"/>
      </w:pPr>
      <w:r>
        <w:rPr>
          <w:rFonts w:ascii="Times New Roman" w:hAnsi="Times New Roman" w:eastAsia="Times New Roman"/>
          <w:b/>
          <w:i w:val="0"/>
          <w:sz w:val="22"/>
        </w:rPr>
        <w:t>10. Document control</w:t>
      </w:r>
    </w:p>
    <w:p>
      <w:pPr>
        <w:spacing w:after="60" w:before="0" w:line="254" w:lineRule="auto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Issuer: Jinhyuk Fred CHUNG, PhD, Xylonix Pte. Ltd. Closes the Native/product KEM estimator one-pager request using only the authentic 2026-08-02 SageMath export. Internal sheet assembly: Grok (xAI) under the author’s direction.</w:t>
      </w:r>
    </w:p>
    <w:sectPr w:rsidR="00FC693F" w:rsidRPr="0006063C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