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Unified Kinetic Lattice Topology (KLTu)</w:t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Post-Quantum Cryptography, Role-Separated Signatures,</w:t>
        <w:br/>
        <w:t>and Homomorphic Evaluation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Project Whitepaper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Jinhyuk Fred CHUNG, PhD</w:t>
        <w:br/>
        <w:t>CEO / CSO, Xylonix Pte. Ltd. (Singapore)</w:t>
        <w:br/>
        <w:t>j.f.chung@xylonix.io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7 August 2026  ·  Draft for technical diligence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/>
          <w:sz w:val="18"/>
        </w:rPr>
        <w:t>This whitepaper describes the KLTu system architecture and measured posture at a black-box level suitable for banking, custody, L1, and institutional counterparties. It synthesizes the author’s preprint series on role-separated signatures, unified lattice topology, homomorphic ML-KEM evaluation, and MAXR3 entropy. Proprietary evaluation internals are named only at the product surface. This document is not a FIPS 140 or Common Criteria certificate.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1. Executive Summary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Kinetic Lattice Topology (KLTu) is a unified post-quantum stack that combines standards-aligned key encapsulation and signatures with a product fully homomorphic evaluation path [2], [3]. The design goal is practical deployment on performance-sensitive networks and regulated financial pipelines: small, fast signatures on the mesh hot path; FIPS 204-class signatures for audit and external finality [1]; general encrypted evaluation on KEM interop and native modes without default reliance on conventional programmable bootstrapping [3]; and a separate, gated hybrid mode that evaluates only the linear core of ML-DSA-65 verification under a shallow residual budget when a signature must be checked without opening a protected envelope.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Native mesh parameters are sized by lattice-estimator cost, not by informal “weaker than FIPS” intuition. Under the project’s estimator runs, Native DSA Tier M reports approximately 2^{196.4} classical cost and Tier H approximately 2^{262.3}—orders of magnitude that are not inferior to the classical attack-cost scales commonly associated with NIST security Categories 3 and 5 for FIPS 203/204 parameter sets [1]. Native remains a distinct wire and is not labeled as a NIST category; the estimator comparison addresses strength, not standardization status.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Two FHE postures must not be conflated. Product FHE on the KEM-768/1024 interop path and on native evaluation modes uses the proprietary JiwonArinStrap noise-management family (product options including α, β, θ, δ) in place of conventional PBS on the default path [3]. The ML-DSA-65 residual verify path is intentionally leveled and shallow (depth at most two). KLTu does not claim full-blind ML-DSA verification in ciphertext, FHE signature generation, or third-party certification.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2. Motivation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2.1 Post-quantum migration under operational constraints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Public-chain settlement patterns, stablecoin rails, and tokenized assets are entering mainstream finance at the same time that institutions must plan for quantum-capable adversaries. FIPS 203 (ML-KEM) and FIPS 204 (ML-DSA) provide compliance anchors. Operational systems also need compact mesh signatures whose lattice cost is demonstrably serious, and encrypted computation that does not require conventional PBS on every product path [3].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2.2 Role separation for signatures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Mesh voting needs sub-MTU, high-throughput signatures. Audit and external settlement need standards-aligned wire formats. KLTu separates ephemeral mesh signatures (Native DSA v2) from persistent audit signatures (FIPS 204) [1]. Role separation is about profile and wire, not about accepting a weak mesh algorithm.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2.3 Confidential verification versus general encrypted computation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Hybrid residual verify addresses ML-DSA-65 checks inside encrypted workflows at shallow depth. Product FHE on KEM interop and native modes addresses general encrypted computation with strap-managed depth and full_pbs_calls = 0 on the default path up to documented limits [3].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3. Architecture Overview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3.1 Control-plane unification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KLTu presents a single product family with explicit intents and a shared operational envelope for builds, telemetry, and entropy services [2]. Algebraic moduli and ring dimensions are role-specific.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3.2 Geometry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Track</w:t>
            </w:r>
          </w:p>
        </w:tc>
        <w:tc>
          <w:tcPr>
            <w:tcW w:type="dxa" w:w="2976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Parameters (summary)</w:t>
            </w:r>
          </w:p>
        </w:tc>
        <w:tc>
          <w:tcPr>
            <w:tcW w:type="dxa" w:w="2976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FIPS KEM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ML-KEM-768 / 1024 (NIST Cat. 3 / 5 class)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Standards interop encapsulation</w:t>
            </w:r>
          </w:p>
        </w:tc>
      </w:tr>
      <w:tr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Non-FIPS KEM (MAXR3 path)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Level 3 / 5 via product KEM API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Operational encaps/decaps with system entropy</w:t>
            </w:r>
          </w:p>
        </w:tc>
      </w:tr>
      <w:tr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Native DSA v2 Tier M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q=3329, N=256; ~1056 B; estimator ~2^{196.4}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Ephemeral mesh [1]</w:t>
            </w:r>
          </w:p>
        </w:tc>
      </w:tr>
      <w:tr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Native DSA v2 Tier H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q=3329, N=256; ~1377 B; estimator ~2^{262.3}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High-capacity mesh [1]</w:t>
            </w:r>
          </w:p>
        </w:tc>
      </w:tr>
      <w:tr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FIPS ML-DSA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q=8380417; ML-DSA-65 sig 3309 B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Audit and external finality [1]</w:t>
            </w:r>
          </w:p>
        </w:tc>
      </w:tr>
      <w:tr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FHE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Large N; d_max in {8, 6} class sets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Full eval via strap options; PBS not default [3]</w:t>
            </w:r>
          </w:p>
        </w:tc>
      </w:tr>
      <w:tr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Residual FHE (verify only)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q_DSA; depth d ≤ 2</w:t>
            </w:r>
          </w:p>
        </w:tc>
        <w:tc>
          <w:tcPr>
            <w:tcW w:type="dxa" w:w="297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Shallow leveled linear residual + CPU completion</w:t>
            </w:r>
          </w:p>
        </w:tc>
      </w:tr>
    </w:tbl>
    <w:p>
      <w:pPr>
        <w:spacing w:after="120"/>
      </w:pP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3.3 Entropy architecture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Production paths that require structured masks draw from MAXR3 on dedicated channels and fail closed if dry [4].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4. Key Encapsulation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KLTu exposes a FIPS 203-aligned interop plane for ML-KEM-768 and ML-KEM-1024 (NIST Category 3 and 5 class parameter sets) with known-answer testing under a test DRBG, and a parallel product KEM path at security levels 3 and 5 under live MAXR3 entropy [2], [4]. Homomorphic evaluation of ML-KEM-session material via native wire conversion and measured noise-control options, without functional bootstrapping on the default path, is developed in [3].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First-order timing self-measurements at n = 10 000 on the listed interfaces report Welch statistics below |t| = 4.5. Encrypted evaluation consumes KEM-domain material only after product ingest rules (including F→P where required), without decapsulation for that conversion step [3].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5. Role-Separated Digital Signatures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5.1 Native DSA v2 (mesh) — estimator strength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Native DSA v2 targets internal consensus within the module-rank family described for L1 networks [1]: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Tier</w:t>
            </w:r>
          </w:p>
        </w:tc>
        <w:tc>
          <w:tcPr>
            <w:tcW w:type="dxa" w:w="2232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Wire size (approx.)</w:t>
            </w:r>
          </w:p>
        </w:tc>
        <w:tc>
          <w:tcPr>
            <w:tcW w:type="dxa" w:w="2232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Lattice estimator (classical cost)</w:t>
            </w:r>
          </w:p>
        </w:tc>
        <w:tc>
          <w:tcPr>
            <w:tcW w:type="dxa" w:w="2232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Comparison scale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 (3,3)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1056 B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~2^{196.4}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inferior to NIST Category 3 classical cost scale (~2^{192}-class)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 (4,4)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1377 B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~2^{262.3}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inferior to NIST Category 5 classical cost scale (~2^{256}-class)</w:t>
            </w:r>
          </w:p>
        </w:tc>
      </w:tr>
    </w:tbl>
    <w:p>
      <w:pPr>
        <w:spacing w:after="120"/>
      </w:pP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These figures are lattice-estimator outputs for the Native parameter sets (N = 256, q = 3329, secret distribution as specified for the Native line). On that metric, Tier M is not weaker than the classical cost scale associated with NIST Category 3 deployments of FIPS 203/204, and Tier H is not weaker than the classical cost scale associated with NIST Category 5 [1]. Mesh signatures are therefore a performance and profile choice—not a decision to run a soft algorithm on the hot path.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Formal status remains precise: Native is not FIPS 204 wire, is not submitted here as a NIST standardized parameter set, and Native signatures alone are not external finality proofs [1]. “Not inferior on the estimator” is a strength statement; it is not a claim that NIST has assigned Category 3 or 5 labels to Native.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5.2 FIPS 204 (audit)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Persistent and external paths use ML-DSA under FIPS 204-aligned APIs as anchors for audit and boundary flows [1], including ML-DSA-65 at the Category 3 class used widely for institutional alignment. First-order SC self-measurements for FIPS sign and verify meet |t| ≤ 4.5 on the evidence pack interfaces.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5.3 Separation rule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Mesh defaults remain Native for size and latency; audit and boundary flows remain FIPS [1]. Counterparties that require FIPS wire on every hop should terminate Native at the trust boundary and re-sign or dual-sign under FIPS 204—not because Native is estimator-weak, but because policy demands the standardized format.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6. Homomorphic Evaluation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6.1 Product FHE — full evaluation path (KEM interop and native modes)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On product KEM interop (including ML-KEM-768/1024-related workflows after proper ingest) and on native evaluation modes, KLTu is positioned as a full homomorphic evaluation stack within published parameter sets (large ring dimensions; depth budgets associated with d_max ∈ {8, 6}) [2], [3].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Noise and depth management on the default product path use the proprietary JiwonArinStrap family—named product options as published for the efficient ML-KEM evaluation line (α, β, θ, δ)—rather than conventional programmable bootstrapping as the routine mechanism [3]. Default product path accounting records full_pbs_calls = 0 up to the stated maximum depth. Strap algorithms remain proprietary.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6.2 Residual path — limited leveled stance for ML-DSA-65 hybrid verify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 separate, gated path addresses confidential checking of ML-DSA-65 verification material [1]. KLTu evaluates only the linear residual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w′_approx = A·z − c·t₁·2^d  (mod q)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under encryption at multiplicative depth at most two, then completes UseHint and challenge binding on CPU (HYBRID_VERIFY_CLAIM = YES). That residual path is intentionally leveled and shallow. Calling it “leveled” is required for honesty; extending that ceiling to all KLTu FHE would understate the strap-based product path [3].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6.3 Measured residual integrity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On the integrity-locked residual path, n = 10 000 trials report maximum infinity-norm noise 52 589 against B_STRICT = 65 536 (zero exceedances). Hybrid agreement with a reference verifier is 100% on 5 000 valid and 5 000 corrupted signatures. Default residual multiplication is schoolbook; optional NTT is flag-only. Range-safe Barrett reduction on residual mod_q is withdrawn on the current freeze; integer division is present on that residual hot path.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6.4 Claim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Capability</w:t>
            </w:r>
          </w:p>
        </w:tc>
        <w:tc>
          <w:tcPr>
            <w:tcW w:type="dxa" w:w="4464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Posture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FHE (KEM interop / native modes)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Full eval within d_max; strap α,β,θ,δ [3]; PBS not default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ML-DSA-65 residual hybrid verify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Leveled, d ≤ 2; FHE linear core + CPU completion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Native estimator vs Cat. 3 / 5 cost scales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 ~2^{196.4}; H ~2^{262.3} — not inferior [1]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Native as NIST standardized category label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claimed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Full-blind ML-DSA verify in ciphertext only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claimed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FHE signature generation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claimed</w:t>
            </w:r>
          </w:p>
        </w:tc>
      </w:tr>
    </w:tbl>
    <w:p>
      <w:pPr>
        <w:spacing w:after="120"/>
      </w:pP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7. Security Posture and Non-Claims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7.1 What is claimed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FIPS 203 / 204-aligned interfaces under known-answer testing and documented interop checks.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Native DSA Tier M / H lattice-estimator classical costs of approximately 2^{196.4} / 2^{262.3}, i.e. not inferior to NIST Category 3 / 5 classical cost scales on that metric [1].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Role-separated mesh versus audit profiles with published Native sizes [1].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Product FHE evaluation with strap-managed depth and full_pbs_calls = 0 on the default path up to stated d_max [3].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Hybrid residual verification of the ML-DSA-65 linear core under a noise gate, with CPU completion.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First-order timing self-measurements within |t| ≤ 4.5 for the interfaces listed in the evidence pack.</w:t>
      </w:r>
    </w:p>
    <w:p>
      <w:pPr>
        <w:spacing w:after="120" w:line="276" w:lineRule="auto" w:before="240"/>
      </w:pPr>
      <w:r>
        <w:rPr>
          <w:rFonts w:ascii="Times New Roman" w:hAnsi="Times New Roman" w:eastAsia="Times New Roman"/>
          <w:b/>
          <w:i w:val="0"/>
          <w:sz w:val="24"/>
        </w:rPr>
        <w:t>7.2 What is not claimed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FULL_BLIND_VERIFY — complete ML-DSA verification entirely in ciphertext.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FHE_SIGN — signature generation under FHE.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That Native parameters are NIST-standardized Category 3 or 5 algorithms or FIPS 204 wire [1].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Disclosure of JiwonArinStrap algorithms as open designs [3].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FIPS 140 module certificate or Common Criteria evaluation.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Equivalence of residual leveled verify with unbounded product FHE depth.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Higher-order, EM, power, or fault resistance beyond stated first-order timing work.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8. Empirical Evidence (Summary)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Campaign</w:t>
            </w:r>
          </w:p>
        </w:tc>
        <w:tc>
          <w:tcPr>
            <w:tcW w:type="dxa" w:w="4464"/>
            <w:shd w:fill="E8E8E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Result (summary)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Native lattice estimator (Tier M / H)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~2^{196.4} / ~2^{262.3} classical cost [1]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Residual noise, n = 10 000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Max 52 589 ≤ 65 536; 0 exceedances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Hybrid verify fidelity, n = 10 000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100% agreement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FIPS KEM/DSA SC, n = 10 000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 |t| ≤ 4.5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Non-FIPS KEM L3/L5 SC (MAXR3)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PASS; max |t| ≈ 1.02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Native DSA M/H SC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PASS; max |t| ≈ 0.99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Residual linear SC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PASS; |t| ≈ 1.13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path PBS accounting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full_pbs_calls = 0 up to stated d_max [3]</w:t>
            </w:r>
          </w:p>
        </w:tc>
      </w:tr>
    </w:tbl>
    <w:p>
      <w:pPr>
        <w:spacing w:after="120"/>
      </w:pP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9. Deployment Guidance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Use Native DSA v2 for ephemeral mesh votes where size and latency dominate; rely on estimator results above when strength questions arise [1].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Use FIPS 204 ML-DSA where policy requires standardized audit wire [1].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Use product FHE (strap-managed) for general encrypted computation on KEM interop and native modes within published depth budgets [3].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Use residual hybrid verify only when an ML-DSA-65 check must proceed without opening an encrypted envelope.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Keep pure asymmetric KEM/DSA planes free of incidental FHE calls (fhe_calls = 0) [2].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10. Open Items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Independent laboratory audit or FIPS 140 / CC program.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Public Native security-estimator method one-pager (tool, model date, exact scripts)—strengthens reproducibility of the 2^{196.4} / 2^{262.3} figures.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Optional per-trace SC arrays.</w:t>
      </w:r>
    </w:p>
    <w:p>
      <w:pPr>
        <w:pStyle w:val="ListBullet"/>
        <w:spacing w:after="60" w:line="26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Range-safe residual modular reduction only after a new freeze that re-passes residual gates.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11. Conclusion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KLTu combines standards-aligned post-quantum KEM and audit signatures, compact Native mesh signatures whose lattice-estimator costs are not inferior to NIST Category 3 and 5 classical scales [1], a product homomorphic evaluation path managed by strap options in place of routine conventional PBS [3], shared topology and timing isolation under MAXR3 [2], [4], and a deliberately limited leveled residual path for hybrid ML-DSA-65 verification. Native is strong on the estimator and small on the wire; FIPS remains the audit format. The residual path is leveled by design; product FHE is not. Claims remain modest on certification and full-blind verify, and explicit on measured residual integrity and first-order timing.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12. References</w:t>
      </w:r>
    </w:p>
    <w:p>
      <w:pPr>
        <w:spacing w:after="160" w:line="276" w:lineRule="auto"/>
        <w:ind w:left="360" w:hanging="360"/>
      </w:pPr>
      <w:r>
        <w:rPr>
          <w:rFonts w:ascii="Times New Roman" w:hAnsi="Times New Roman" w:eastAsia="Times New Roman"/>
          <w:b w:val="0"/>
          <w:i w:val="0"/>
          <w:sz w:val="20"/>
        </w:rPr>
        <w:t>[1]  J. F. Chung, “Role-Separated Post-Quantum Signatures for L1 Networks: Native DSA v2 (Module Rank Family) with FIPS 204 Anchors,” Zenodo, 4 Aug. 2026, doi: 10.5281/zenodo.21787060.</w:t>
      </w:r>
    </w:p>
    <w:p>
      <w:pPr>
        <w:spacing w:after="160" w:line="276" w:lineRule="auto"/>
        <w:ind w:left="360" w:hanging="360"/>
      </w:pPr>
      <w:r>
        <w:rPr>
          <w:rFonts w:ascii="Times New Roman" w:hAnsi="Times New Roman" w:eastAsia="Times New Roman"/>
          <w:b w:val="0"/>
          <w:i w:val="0"/>
          <w:sz w:val="20"/>
        </w:rPr>
        <w:t>[2]  J. F. Chung, “KLTu-Native: Unified Kinetic Lattice Topology for KEM, DSA, and FHE-Capable Lattice Operation with Shared Timing Isolation under MAXR3,” Zenodo, 31 Jul. 2026, doi: 10.5281/zenodo.21719064.</w:t>
      </w:r>
    </w:p>
    <w:p>
      <w:pPr>
        <w:spacing w:after="160" w:line="276" w:lineRule="auto"/>
        <w:ind w:left="360" w:hanging="360"/>
      </w:pPr>
      <w:r>
        <w:rPr>
          <w:rFonts w:ascii="Times New Roman" w:hAnsi="Times New Roman" w:eastAsia="Times New Roman"/>
          <w:b w:val="0"/>
          <w:i w:val="0"/>
          <w:sz w:val="20"/>
        </w:rPr>
        <w:t>[3]  J. F. Chung, “Efficient Fully Homomorphic Evaluation of FIPS 203 ML-KEM Sessions via Native Wire Conversion and Measured Noise-Control Options α, β, θ, δ without Functional Bootstrapping,” Zenodo, 25 Jul. 2026, doi: 10.5281/zenodo.21543529.</w:t>
      </w:r>
    </w:p>
    <w:p>
      <w:pPr>
        <w:spacing w:after="160" w:line="276" w:lineRule="auto"/>
        <w:ind w:left="360" w:hanging="360"/>
      </w:pPr>
      <w:r>
        <w:rPr>
          <w:rFonts w:ascii="Times New Roman" w:hAnsi="Times New Roman" w:eastAsia="Times New Roman"/>
          <w:b w:val="0"/>
          <w:i w:val="0"/>
          <w:sz w:val="20"/>
        </w:rPr>
        <w:t>[4]  J. F. Chung, “MAXR3: High-Throughput Software Generate versus OpenSSL SHAKE on AVX2 and AVX-512 Hosts,” Zenodo, 23 Jul. 2026, doi: 10.5281/zenodo.21522687.</w:t>
      </w:r>
    </w:p>
    <w:p>
      <w:pPr>
        <w:spacing w:after="160" w:line="276" w:lineRule="auto" w:before="320"/>
      </w:pPr>
      <w:r>
        <w:rPr>
          <w:rFonts w:ascii="Times New Roman" w:hAnsi="Times New Roman" w:eastAsia="Times New Roman"/>
          <w:b/>
          <w:i w:val="0"/>
          <w:sz w:val="28"/>
        </w:rPr>
        <w:t>13. Document Control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Issuer: Jinhyuk Fred CHUNG, PhD, Xylonix Pte. Ltd. Companion diligence narrative: KLTu Evidence Response Package (distributed separately). Machine evidence freeze example: KLTu_Evidence_Bundle_20260807_021427. Internal compilation support: Grok (xAI) under the author’s direction.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Xylonix Pte. Ltd.  ·  Page </w:t>
    </w: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555555"/>
        <w:sz w:val="18"/>
      </w:rPr>
      <w:t>KLTu Project Whitepaper  ·  Confidential — For Diligence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