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jc w:val="center"/>
        <w:rPr>
          <w:rFonts w:ascii="Montserrat" w:cs="Montserrat" w:eastAsia="Montserrat" w:hAnsi="Montserrat"/>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align>center</wp:align>
            </wp:positionH>
            <wp:positionV relativeFrom="margin">
              <wp:posOffset>-1286226</wp:posOffset>
            </wp:positionV>
            <wp:extent cx="7610475" cy="10765571"/>
            <wp:effectExtent b="0" l="0" r="0" t="0"/>
            <wp:wrapNone/>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610475" cy="10765571"/>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Ata de Reunião Geral</w:t>
      </w:r>
    </w:p>
    <w:p w:rsidR="00000000" w:rsidDel="00000000" w:rsidP="00000000" w:rsidRDefault="00000000" w:rsidRPr="00000000" w14:paraId="0000000D">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2025-2</w:t>
      </w:r>
    </w:p>
    <w:p w:rsidR="00000000" w:rsidDel="00000000" w:rsidP="00000000" w:rsidRDefault="00000000" w:rsidRPr="00000000" w14:paraId="0000000E">
      <w:pPr>
        <w:pageBreakBefore w:val="0"/>
        <w:spacing w:line="240" w:lineRule="auto"/>
        <w:jc w:val="center"/>
        <w:rPr>
          <w:rFonts w:ascii="Montserrat" w:cs="Montserrat" w:eastAsia="Montserrat" w:hAnsi="Montserrat"/>
          <w:b w:val="1"/>
          <w:bCs w:val="1"/>
          <w:i w:val="1"/>
          <w:iCs w:val="1"/>
        </w:rPr>
      </w:pPr>
      <w:r w:rsidDel="00000000" w:rsidR="00000000" w:rsidRPr="00000000">
        <w:rPr>
          <w:rFonts w:ascii="Amaranth" w:cs="Amaranth" w:eastAsia="Amaranth" w:hAnsi="Amaranth"/>
          <w:b w:val="1"/>
          <w:bCs w:val="1"/>
          <w:i w:val="1"/>
          <w:iCs w:val="1"/>
          <w:color w:val="ffffff"/>
          <w:sz w:val="48"/>
          <w:szCs w:val="48"/>
          <w:rtl w:val="0"/>
        </w:rPr>
        <w:t xml:space="preserve">01/12</w:t>
      </w:r>
      <w:r w:rsidDel="00000000" w:rsidR="00000000" w:rsidRPr="00000000">
        <w:rPr>
          <w:rFonts w:ascii="Amaranth" w:cs="Amaranth" w:eastAsia="Amaranth" w:hAnsi="Amaranth"/>
          <w:b w:val="1"/>
          <w:bCs w:val="1"/>
          <w:i w:val="1"/>
          <w:iCs w:val="1"/>
          <w:color w:val="ffffff"/>
          <w:sz w:val="48"/>
          <w:szCs w:val="48"/>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spacing w:line="360" w:lineRule="auto"/>
        <w:jc w:val="left"/>
        <w:rPr>
          <w:rFonts w:ascii="Montserrat" w:cs="Montserrat" w:eastAsia="Montserrat" w:hAnsi="Montserrat"/>
          <w:b w:val="1"/>
          <w:bCs w:val="1"/>
          <w:sz w:val="32"/>
          <w:szCs w:val="32"/>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bCs w:val="1"/>
          <w:sz w:val="36"/>
          <w:szCs w:val="36"/>
          <w:rtl w:val="0"/>
        </w:rPr>
        <w:t xml:space="preserve">Horário</w:t>
      </w:r>
      <w:r w:rsidDel="00000000" w:rsidR="00000000" w:rsidRPr="00000000">
        <w:rPr>
          <w:rtl w:val="0"/>
        </w:rPr>
      </w:r>
    </w:p>
    <w:p w:rsidR="00000000" w:rsidDel="00000000" w:rsidP="00000000" w:rsidRDefault="00000000" w:rsidRPr="00000000" w14:paraId="00000010">
      <w:pPr>
        <w:pageBreakBefore w:val="0"/>
        <w:tabs>
          <w:tab w:val="center" w:leader="none" w:pos="245"/>
          <w:tab w:val="left" w:leader="none" w:pos="709"/>
          <w:tab w:val="center" w:leader="none" w:pos="1726"/>
        </w:tabs>
        <w:spacing w:after="462"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w:t>
      </w:r>
      <w:r w:rsidDel="00000000" w:rsidR="00000000" w:rsidRPr="00000000">
        <w:rPr>
          <w:rFonts w:ascii="Montserrat" w:cs="Montserrat" w:eastAsia="Montserrat" w:hAnsi="Montserrat"/>
          <w:sz w:val="24"/>
          <w:szCs w:val="24"/>
          <w:rtl w:val="0"/>
        </w:rPr>
        <w:t xml:space="preserve">20:35</w:t>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360" w:lineRule="auto"/>
        <w:ind w:left="0" w:right="0" w:firstLine="0"/>
        <w:jc w:val="both"/>
        <w:rPr>
          <w:rFonts w:ascii="Montserrat" w:cs="Montserrat" w:eastAsia="Montserrat" w:hAnsi="Montserrat"/>
          <w:i w:val="0"/>
          <w:iCs w:val="0"/>
          <w:smallCaps w:val="0"/>
          <w:strike w:val="0"/>
          <w:color w:val="000000"/>
          <w:sz w:val="36"/>
          <w:szCs w:val="36"/>
          <w:u w:val="none"/>
          <w:vertAlign w:val="baseline"/>
        </w:rPr>
      </w:pPr>
      <w:r w:rsidDel="00000000" w:rsidR="00000000" w:rsidRPr="00000000">
        <w:rPr>
          <w:rFonts w:ascii="Montserrat" w:cs="Montserrat" w:eastAsia="Montserrat" w:hAnsi="Montserrat"/>
          <w:b w:val="1"/>
          <w:bCs w:val="1"/>
          <w:i w:val="0"/>
          <w:iCs w:val="0"/>
          <w:smallCaps w:val="0"/>
          <w:strike w:val="0"/>
          <w:color w:val="000000"/>
          <w:sz w:val="36"/>
          <w:szCs w:val="36"/>
          <w:u w:val="none"/>
          <w:vertAlign w:val="baseline"/>
          <w:rtl w:val="0"/>
        </w:rPr>
        <w:t xml:space="preserve">Presentes</w:t>
      </w:r>
      <w:r w:rsidDel="00000000" w:rsidR="00000000" w:rsidRPr="00000000">
        <w:rPr>
          <w:rFonts w:ascii="Montserrat" w:cs="Montserrat" w:eastAsia="Montserrat" w:hAnsi="Montserrat"/>
          <w:i w:val="0"/>
          <w:iCs w:val="0"/>
          <w:smallCaps w:val="0"/>
          <w:strike w:val="0"/>
          <w:color w:val="000000"/>
          <w:sz w:val="36"/>
          <w:szCs w:val="36"/>
          <w:u w:val="none"/>
          <w:vertAlign w:val="baseline"/>
          <w:rtl w:val="0"/>
        </w:rPr>
        <w:t xml:space="preserve"> </w:t>
      </w:r>
    </w:p>
    <w:p w:rsidR="00000000" w:rsidDel="00000000" w:rsidP="00000000" w:rsidRDefault="00000000" w:rsidRPr="00000000" w14:paraId="00000012">
      <w:pPr>
        <w:pageBreakBefore w:val="0"/>
        <w:spacing w:after="200" w:line="276" w:lineRule="auto"/>
        <w:ind w:right="55"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Efetivos: </w:t>
      </w:r>
    </w:p>
    <w:p w:rsidR="00000000" w:rsidDel="00000000" w:rsidP="00000000" w:rsidRDefault="00000000" w:rsidRPr="00000000" w14:paraId="00000013">
      <w:pPr>
        <w:spacing w:after="200" w:line="276" w:lineRule="auto"/>
        <w:ind w:left="720" w:right="55"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Adilson José dos Santos Júnior, Alexandre Ferreira Nunes, Ariel Lopes Ribeiro Silva, Arthur Montes Cuoco, Carolina Helena Martins Batista, Eduarda Novaes Gomes, Fernanda Custódio Soares, Héctor Nunes Silva de Albuquerque, Henrique Akira Fujihara Nobuyasu, Isadora Corrêa Moura, João Gabriel de Mendonça Teixeira, João Pedro Franco Barbosa, Julia Gabriela Ferreira Nunes, Nelson Antônio de Melo Filho, Nícholas Frutuoso Guimarães, Pedro Henrique Fernandes Rezende, Pedro Henrique Oliveira Macedo, Samara Regina Machado, Thiago Inácio Bovaretto, Vinícius Abreu Queiroz Felício, Wanderson Guilherme Santos.</w:t>
      </w:r>
    </w:p>
    <w:p w:rsidR="00000000" w:rsidDel="00000000" w:rsidP="00000000" w:rsidRDefault="00000000" w:rsidRPr="00000000" w14:paraId="00000014">
      <w:pPr>
        <w:spacing w:after="200" w:line="276" w:lineRule="auto"/>
        <w:ind w:left="720" w:right="55"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5">
      <w:pPr>
        <w:spacing w:after="200" w:line="276" w:lineRule="auto"/>
        <w:ind w:right="55"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Trainees: </w:t>
      </w:r>
    </w:p>
    <w:p w:rsidR="00000000" w:rsidDel="00000000" w:rsidP="00000000" w:rsidRDefault="00000000" w:rsidRPr="00000000" w14:paraId="00000016">
      <w:pPr>
        <w:spacing w:after="200" w:line="276" w:lineRule="auto"/>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Allyson de Paula Souza, Bernardo e Chaves Medici, Gabrielly Alves Borges, Iriana Silva e Silva, Júlia Arcari Corrêa, Leonardo Parreira Tomaz Silva, Luan Rafael Pereira Santos, Maria Eduarda Garcez Borges, Maria Fernanda Pagnoncelli Corso, Mateus Peres Lima, Rafael Francisco Caixeta.</w:t>
      </w:r>
      <w:r w:rsidDel="00000000" w:rsidR="00000000" w:rsidRPr="00000000">
        <w:br w:type="page"/>
      </w:r>
      <w:r w:rsidDel="00000000" w:rsidR="00000000" w:rsidRPr="00000000">
        <w:rPr>
          <w:rtl w:val="0"/>
        </w:rPr>
      </w:r>
    </w:p>
    <w:p w:rsidR="00000000" w:rsidDel="00000000" w:rsidP="00000000" w:rsidRDefault="00000000" w:rsidRPr="00000000" w14:paraId="00000017">
      <w:pPr>
        <w:spacing w:line="360" w:lineRule="auto"/>
        <w:ind w:left="0" w:right="55"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36"/>
          <w:szCs w:val="36"/>
          <w:rtl w:val="0"/>
        </w:rPr>
        <w:t xml:space="preserve">Pautas</w:t>
      </w:r>
      <w:r w:rsidDel="00000000" w:rsidR="00000000" w:rsidRPr="00000000">
        <w:rPr>
          <w:rtl w:val="0"/>
        </w:rPr>
      </w:r>
    </w:p>
    <w:p w:rsidR="00000000" w:rsidDel="00000000" w:rsidP="00000000" w:rsidRDefault="00000000" w:rsidRPr="00000000" w14:paraId="00000018">
      <w:pPr>
        <w:spacing w:after="200" w:before="200" w:line="360" w:lineRule="auto"/>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9">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Transparências</w:t>
      </w:r>
      <w:r w:rsidDel="00000000" w:rsidR="00000000" w:rsidRPr="00000000">
        <w:rPr>
          <w:rtl w:val="0"/>
        </w:rPr>
      </w:r>
    </w:p>
    <w:p w:rsidR="00000000" w:rsidDel="00000000" w:rsidP="00000000" w:rsidRDefault="00000000" w:rsidRPr="00000000" w14:paraId="0000001A">
      <w:pPr>
        <w:spacing w:after="200" w:before="200" w:line="360" w:lineRule="auto"/>
        <w:ind w:left="0" w:firstLine="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Projetos</w:t>
      </w:r>
    </w:p>
    <w:p w:rsidR="00000000" w:rsidDel="00000000" w:rsidP="00000000" w:rsidRDefault="00000000" w:rsidRPr="00000000" w14:paraId="0000001B">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1C">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diretoria de Projetos incluíram a reunião semanal de projetos, a reunião de todo o núcleo de pesquisas, o andamento do Projeto Ledoc com Isadora, Pedro Henrique Oliveira, Paulina, João Pedro, Arthur e João Gabriel, e a sprint do núcleo de pesquisas.</w:t>
      </w:r>
    </w:p>
    <w:p w:rsidR="00000000" w:rsidDel="00000000" w:rsidP="00000000" w:rsidRDefault="00000000" w:rsidRPr="00000000" w14:paraId="0000001D">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Houve também a capacitação de Wordpress com toda a diretoria, a realização do case da etapa fixa por Arthur, Maria, Mateus e Pedro Henrique Oliveira, participação nas eleições, a execução do Siex SDS por João Gabriel, a reunião com a Consulteq com João Pedro, o acompanhamento de Qualidade com a Isadora, a participação na jornada eleitoral por toda a diretoria, a participação na RR com João Gabriel, João Pedro, Isadora e Mateus, e o Csat do projeto Consenso.</w:t>
      </w:r>
    </w:p>
    <w:p w:rsidR="00000000" w:rsidDel="00000000" w:rsidP="00000000" w:rsidRDefault="00000000" w:rsidRPr="00000000" w14:paraId="0000001E">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1F">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 diretoria não apresentou as atividades planejadas para a semana.</w:t>
      </w:r>
      <w:r w:rsidDel="00000000" w:rsidR="00000000" w:rsidRPr="00000000">
        <w:rPr>
          <w:rtl w:val="0"/>
        </w:rPr>
      </w:r>
    </w:p>
    <w:p w:rsidR="00000000" w:rsidDel="00000000" w:rsidP="00000000" w:rsidRDefault="00000000" w:rsidRPr="00000000" w14:paraId="00000020">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1">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Marketing</w:t>
      </w:r>
    </w:p>
    <w:p w:rsidR="00000000" w:rsidDel="00000000" w:rsidP="00000000" w:rsidRDefault="00000000" w:rsidRPr="00000000" w14:paraId="00000022">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3">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Marketing incluíram a postagem de conteúdo comercial e social, a produção de um vídeo comercial e a cobertura da RR nos stories durante o sábado e domingo. Também foram produzidos conteúdos sobre o que está incluso no projeto de instalação elétrica e a divulgação da identidade da empresa.</w:t>
      </w:r>
    </w:p>
    <w:p w:rsidR="00000000" w:rsidDel="00000000" w:rsidP="00000000" w:rsidRDefault="00000000" w:rsidRPr="00000000" w14:paraId="00000024">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5">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postagem de conteúdo comercial, a produção de um vídeo sobre a RR, a gravação de um vídeo de Luminotécnica e a postagem de stories comerciais. Além disso, planeja-se conteúdo abordando como um website profissional impacta pequenos negócios, a proposta de valor de contratar uma empresa júnior e os benefícios do serviço de luminotécnica.</w:t>
      </w:r>
      <w:r w:rsidDel="00000000" w:rsidR="00000000" w:rsidRPr="00000000">
        <w:rPr>
          <w:rtl w:val="0"/>
        </w:rPr>
      </w:r>
    </w:p>
    <w:p w:rsidR="00000000" w:rsidDel="00000000" w:rsidP="00000000" w:rsidRDefault="00000000" w:rsidRPr="00000000" w14:paraId="00000026">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7">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Negócios</w:t>
      </w:r>
    </w:p>
    <w:p w:rsidR="00000000" w:rsidDel="00000000" w:rsidP="00000000" w:rsidRDefault="00000000" w:rsidRPr="00000000" w14:paraId="00000028">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9">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Negócios incluíram a realização de prospecções, a atualização de ferramentas, o início da etapa fixa e o monitoramento de qualidade. Houve também o início do saldão, acompanhamento de Gestão de Pessoas, reuniões de Negócios, Comercial, do Núcleo de Vendas e com clientes.</w:t>
      </w:r>
    </w:p>
    <w:p w:rsidR="00000000" w:rsidDel="00000000" w:rsidP="00000000" w:rsidRDefault="00000000" w:rsidRPr="00000000" w14:paraId="0000002A">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Foram realizadas consultoria comercial por Eduarda, reunião com a Consulteq, reunião com o guardião do núcleo, reunião de diagnóstico e checklist Toca, e capacitação com Carlão da PRESEX.</w:t>
      </w:r>
    </w:p>
    <w:p w:rsidR="00000000" w:rsidDel="00000000" w:rsidP="00000000" w:rsidRDefault="00000000" w:rsidRPr="00000000" w14:paraId="0000002B">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C">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continuidade das prospecções, a atualização de ferramentas, a etapa fixa e uma semana extra de saldão. A coordenadoria também planeja entrar em contato com a Constru, realizar reunião de Negócios, buscar palestrantes, organizar o Dia Comercial, verificar contratos e realizar pesquisa de mercado de ITEL.</w:t>
      </w:r>
      <w:r w:rsidDel="00000000" w:rsidR="00000000" w:rsidRPr="00000000">
        <w:rPr>
          <w:rtl w:val="0"/>
        </w:rPr>
      </w:r>
    </w:p>
    <w:p w:rsidR="00000000" w:rsidDel="00000000" w:rsidP="00000000" w:rsidRDefault="00000000" w:rsidRPr="00000000" w14:paraId="0000002D">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E">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Jurídico-Financeiro</w:t>
      </w:r>
    </w:p>
    <w:p w:rsidR="00000000" w:rsidDel="00000000" w:rsidP="00000000" w:rsidRDefault="00000000" w:rsidRPr="00000000" w14:paraId="0000002F">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0">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Jurídico-Financeiro incluíram a reunião da Presin, a resolução de uma nota fiscal incorreta, a solicitação de advertências e o acompanhamento em relação ao CREA do professor tutor por Nelson. Houve também reuniões da etapa fixa com o trainee, participação na RR, alinhamentos das candidaturas, capacitação do trainee em relação aos processos da área, envio do termo de encerramento da Consenso e atualização da planilha de Projetos, Qualidade e Jurídico-Financeiro.</w:t>
      </w:r>
    </w:p>
    <w:p w:rsidR="00000000" w:rsidDel="00000000" w:rsidP="00000000" w:rsidRDefault="00000000" w:rsidRPr="00000000" w14:paraId="00000031">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2">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elaboração da ata da Reunião Geral por Ariel, a reunião da Presin, a atualização do fluxo de caixa e o retorno à política de não solicitar advertências. Além disso, planeja-se continuar o acompanhamento do CREA do professor tutor com Nelson, criar o formulário de reembolso de parte do ingresso da RR e marcar um bench pelo Trainee.</w:t>
      </w:r>
      <w:r w:rsidDel="00000000" w:rsidR="00000000" w:rsidRPr="00000000">
        <w:rPr>
          <w:rtl w:val="0"/>
        </w:rPr>
      </w:r>
    </w:p>
    <w:p w:rsidR="00000000" w:rsidDel="00000000" w:rsidP="00000000" w:rsidRDefault="00000000" w:rsidRPr="00000000" w14:paraId="00000033">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4">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Parcerias</w:t>
      </w:r>
    </w:p>
    <w:p w:rsidR="00000000" w:rsidDel="00000000" w:rsidP="00000000" w:rsidRDefault="00000000" w:rsidRPr="00000000" w14:paraId="00000035">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6">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Parcerias incluíram a reunião estratégica de Parcerias, o acompanhamento com Qualidade, prospecções de colaboração com Arq Jr., Esfera Jr. e Edifica Consultoria. Foram realizados também benchs com a Síntese, Serra Jr., EJECT e PETRO Jr.</w:t>
      </w:r>
    </w:p>
    <w:p w:rsidR="00000000" w:rsidDel="00000000" w:rsidP="00000000" w:rsidRDefault="00000000" w:rsidRPr="00000000" w14:paraId="00000037">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8">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realização de benchs com Autojun Consultoria e Sinergy Jr. em conjunto com Projetos. A coordenadoria também planeja a análise e diagnóstico de parcerias efetivas, o follow-up das empresas juniores prospectadas na semana anterior e a documentação de melhorias para a coordenadoria.</w:t>
      </w:r>
    </w:p>
    <w:p w:rsidR="00000000" w:rsidDel="00000000" w:rsidP="00000000" w:rsidRDefault="00000000" w:rsidRPr="00000000" w14:paraId="00000039">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A">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Gestão de Pessoas</w:t>
      </w:r>
    </w:p>
    <w:p w:rsidR="00000000" w:rsidDel="00000000" w:rsidP="00000000" w:rsidRDefault="00000000" w:rsidRPr="00000000" w14:paraId="0000003B">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C">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Gestão de Pessoas incluíram atualizações do Trello e Drive, reunião de Coordenadoria, contabilização do Clockify e do Jibble, e a segunda rodada de acompanhamentos. Houve a eleição da vice-presidência, cuidados com o Time CONSELT por Fernanda, aplicação de advertência, contabilização das Ginselts, envio do formulário da PCO, participação na RR e as boas-vindas aos membros Gabrielly e Rafael.</w:t>
      </w:r>
    </w:p>
    <w:p w:rsidR="00000000" w:rsidDel="00000000" w:rsidP="00000000" w:rsidRDefault="00000000" w:rsidRPr="00000000" w14:paraId="0000003D">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E">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contabilização do Clockify e do Jibble, reuniões de Coordenadoria e Diretoria, e a política de não aplicar advertências. Planeja-se manter o Trello e o Drive atualizados, cuidar do Time CONSELT, realizar o VP-off, criar posts sobre a eleição e a RR, realizar a terceira rodada de acompanhamentos e o acompanhamento dos trainees.</w:t>
      </w:r>
      <w:r w:rsidDel="00000000" w:rsidR="00000000" w:rsidRPr="00000000">
        <w:rPr>
          <w:rtl w:val="0"/>
        </w:rPr>
      </w:r>
    </w:p>
    <w:p w:rsidR="00000000" w:rsidDel="00000000" w:rsidP="00000000" w:rsidRDefault="00000000" w:rsidRPr="00000000" w14:paraId="0000003F">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0">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Qualidade</w:t>
      </w:r>
    </w:p>
    <w:p w:rsidR="00000000" w:rsidDel="00000000" w:rsidP="00000000" w:rsidRDefault="00000000" w:rsidRPr="00000000" w14:paraId="00000041">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42">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Qualidade incluíram a Qualyreunião, a atualização do Trello e do Drive, monitoramentos comerciais e acompanhamentos de Parcerias, Projetos e Qualidade. Foram realizados ajustes do mapeamento das áreas, coleta dos dados para a Auditoria, recepção dos trainees e participação na RR.</w:t>
      </w:r>
    </w:p>
    <w:p w:rsidR="00000000" w:rsidDel="00000000" w:rsidP="00000000" w:rsidRDefault="00000000" w:rsidRPr="00000000" w14:paraId="00000043">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4">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Qualyreunião, a atualização do Trello e do Drive, o monitoramento Comercial, marcar acompanhamentos de Parcerias e Projetos, e a montagem da Auditoria.</w:t>
      </w:r>
      <w:r w:rsidDel="00000000" w:rsidR="00000000" w:rsidRPr="00000000">
        <w:rPr>
          <w:rtl w:val="0"/>
        </w:rPr>
      </w:r>
    </w:p>
    <w:p w:rsidR="00000000" w:rsidDel="00000000" w:rsidP="00000000" w:rsidRDefault="00000000" w:rsidRPr="00000000" w14:paraId="00000045">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6">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DIREX</w:t>
      </w:r>
      <w:r w:rsidDel="00000000" w:rsidR="00000000" w:rsidRPr="00000000">
        <w:rPr>
          <w:rtl w:val="0"/>
        </w:rPr>
      </w:r>
    </w:p>
    <w:p w:rsidR="00000000" w:rsidDel="00000000" w:rsidP="00000000" w:rsidRDefault="00000000" w:rsidRPr="00000000" w14:paraId="00000047">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DIREX não apresentou as atividades realizadas e planejadas.</w:t>
      </w:r>
      <w:r w:rsidDel="00000000" w:rsidR="00000000" w:rsidRPr="00000000">
        <w:rPr>
          <w:rtl w:val="0"/>
        </w:rPr>
      </w:r>
    </w:p>
    <w:p w:rsidR="00000000" w:rsidDel="00000000" w:rsidP="00000000" w:rsidRDefault="00000000" w:rsidRPr="00000000" w14:paraId="00000048">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9">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Votação da Imersão</w:t>
      </w:r>
      <w:r w:rsidDel="00000000" w:rsidR="00000000" w:rsidRPr="00000000">
        <w:rPr>
          <w:rtl w:val="0"/>
        </w:rPr>
      </w:r>
    </w:p>
    <w:p w:rsidR="00000000" w:rsidDel="00000000" w:rsidP="00000000" w:rsidRDefault="00000000" w:rsidRPr="00000000" w14:paraId="0000004A">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pauta, ministrada pelos diretores, foi referente à baixa no engajamento dos membros da CONSELT para com os eventos internos, com ressalva na primeira Imersão, tal qual obteve a presença da metade da empresa. Durante o momento foi debatido sobre a importância de se ligar com o MEJ. O diretor Nícholas Frutuoso Guimarães apresentou os dados do Portal BJ, mostrando que a CONSELT obteve uma pontuação 500% maior que no ano anterior, tópico importante no que tange a subida de cluster. Por fim, o momento prosseguiu com a abertura de falas dos membros.</w:t>
      </w:r>
    </w:p>
    <w:p w:rsidR="00000000" w:rsidDel="00000000" w:rsidP="00000000" w:rsidRDefault="00000000" w:rsidRPr="00000000" w14:paraId="0000004B">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C">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Apresentação das Ginselts</w:t>
      </w:r>
      <w:r w:rsidDel="00000000" w:rsidR="00000000" w:rsidRPr="00000000">
        <w:rPr>
          <w:rtl w:val="0"/>
        </w:rPr>
      </w:r>
    </w:p>
    <w:p w:rsidR="00000000" w:rsidDel="00000000" w:rsidP="00000000" w:rsidRDefault="00000000" w:rsidRPr="00000000" w14:paraId="0000004D">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Nesta pauta foram apresentados os vencedores das Ginselts referentes ao mês de outubro. No Consfit, o vencedor foi Thiago Inácio Bovaretto, seguido por Vinícius Abreu Queiroz Felício e Arthur Montes Cuoco. No Consread, o destaque foi João Pedro Franco Barbosa, seguido de Isadora Corrêa Moura. No Consgaming, o primeiro lugar ficou com Pedro Henrique Oliveira Macedo, seguido por João Pedro Franco Barbosa e Julia Gabriela Ferreira Nunes. Também foram apresentados os Diamantes do Mês: na área de Projetos o destaque foi Arthur Montes Cuoco e Julia Gabriela Ferreira Nunes; na Vice-Presidência foram Julia Gabriela Ferreira Nunes e Samara Regina Machado; na Presidência foram Samara Regina Machado e Julia Gabriela Ferreira Nunes; e no Comercial a destaque foi Eduarda Novaes Gomes.</w:t>
      </w:r>
    </w:p>
    <w:p w:rsidR="00000000" w:rsidDel="00000000" w:rsidP="00000000" w:rsidRDefault="00000000" w:rsidRPr="00000000" w14:paraId="0000004E">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F">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Avisos</w:t>
      </w:r>
    </w:p>
    <w:p w:rsidR="00000000" w:rsidDel="00000000" w:rsidP="00000000" w:rsidRDefault="00000000" w:rsidRPr="00000000" w14:paraId="00000050">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Nos avisos finais, a membra Fernanda Custódio Soares informou que os trainees devem permanecer de polo ao estar na sede, alertou sobre o término do prazo de preenchimento do formulário da PCO e instruiu que os trainees devem inicializar a contabilização do Clockify e do Jibble. A membra Carolina Helena Martins Batista avisou que quem pegou a polo na RR deve lavá-la antes de devolver. O membro João Gabriel de Mendonça Teixeira informou que esta é a última semana de capacitação e que os membros participantes devem manter o foco durante essa reta final, comunicando também que em breve haverá votação para eleger o melhor grupo da capacitação. A membra Samara Regina Machado avisou sobre a disponibilização da lista de quem está interessado em ir ao projeto IPE no sábado. Por fim, o membro Ariel Lopes Ribeiro Silva informou sobre o formulário para recolhimento de pauta de interesse para ser ofertada pelo Grupo Interdisciplinar de Inteligência Artificial (GIIA).</w:t>
      </w:r>
    </w:p>
    <w:p w:rsidR="00000000" w:rsidDel="00000000" w:rsidP="00000000" w:rsidRDefault="00000000" w:rsidRPr="00000000" w14:paraId="00000051">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2">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53">
      <w:pPr>
        <w:pageBreakBefore w:val="0"/>
        <w:spacing w:after="133" w:line="360" w:lineRule="auto"/>
        <w:jc w:val="right"/>
        <w:rPr>
          <w:rFonts w:ascii="Montserrat" w:cs="Montserrat" w:eastAsia="Montserrat" w:hAnsi="Montserrat"/>
          <w:i w:val="0"/>
          <w:iCs w:val="0"/>
          <w:smallCaps w:val="0"/>
          <w:strike w:val="0"/>
          <w:color w:val="000000"/>
          <w:sz w:val="24"/>
          <w:szCs w:val="24"/>
          <w:u w:val="none"/>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maranth">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906905" cy="5810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-1133443</wp:posOffset>
          </wp:positionH>
          <wp:positionV relativeFrom="paragraph">
            <wp:posOffset>47625</wp:posOffset>
          </wp:positionV>
          <wp:extent cx="7879229" cy="1009650"/>
          <wp:effectExtent b="0" l="0" r="0" t="0"/>
          <wp:wrapNone/>
          <wp:docPr id="4"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drawing>
        <wp:anchor allowOverlap="1" behindDoc="0" distB="0" distT="0" distL="114300" distR="114300" hidden="0" layoutInCell="1" locked="0" relativeHeight="0" simplePos="0">
          <wp:simplePos x="0" y="0"/>
          <wp:positionH relativeFrom="rightMargin">
            <wp:posOffset>-228552</wp:posOffset>
          </wp:positionH>
          <wp:positionV relativeFrom="margin">
            <wp:posOffset>-662615</wp:posOffset>
          </wp:positionV>
          <wp:extent cx="1030605" cy="101346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3"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maranth-regular.ttf"/><Relationship Id="rId2" Type="http://schemas.openxmlformats.org/officeDocument/2006/relationships/font" Target="fonts/Amaranth-bold.ttf"/><Relationship Id="rId3" Type="http://schemas.openxmlformats.org/officeDocument/2006/relationships/font" Target="fonts/Amaranth-italic.ttf"/><Relationship Id="rId4" Type="http://schemas.openxmlformats.org/officeDocument/2006/relationships/font" Target="fonts/Amaranth-boldItalic.ttf"/><Relationship Id="rId11" Type="http://schemas.openxmlformats.org/officeDocument/2006/relationships/font" Target="fonts/QuattrocentoSans-italic.ttf"/><Relationship Id="rId10" Type="http://schemas.openxmlformats.org/officeDocument/2006/relationships/font" Target="fonts/QuattrocentoSans-bold.ttf"/><Relationship Id="rId12" Type="http://schemas.openxmlformats.org/officeDocument/2006/relationships/font" Target="fonts/QuattrocentoSans-boldItalic.ttf"/><Relationship Id="rId9" Type="http://schemas.openxmlformats.org/officeDocument/2006/relationships/font" Target="fonts/QuattrocentoSan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