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1084901</wp:posOffset>
                </wp:positionH>
                <wp:positionV relativeFrom="page">
                  <wp:posOffset>4415190</wp:posOffset>
                </wp:positionV>
                <wp:extent cx="5670448" cy="1895527"/>
                <wp:effectExtent b="0" l="0" r="0" t="0"/>
                <wp:wrapNone/>
                <wp:docPr descr="&#10;" id="248"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24</w:t>
                            </w:r>
                            <w:r w:rsidDel="00000000" w:rsidR="00000000" w:rsidRPr="00000000">
                              <w:rPr>
                                <w:rFonts w:ascii="Montserrat" w:cs="Montserrat" w:eastAsia="Montserrat" w:hAnsi="Montserrat"/>
                                <w:b w:val="1"/>
                                <w:i w:val="1"/>
                                <w:smallCaps w:val="0"/>
                                <w:strike w:val="0"/>
                                <w:color w:val="ffffff"/>
                                <w:sz w:val="48"/>
                                <w:vertAlign w:val="baseline"/>
                              </w:rPr>
                              <w:t xml:space="preserve">/02/2025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1084901</wp:posOffset>
                </wp:positionH>
                <wp:positionV relativeFrom="page">
                  <wp:posOffset>4415190</wp:posOffset>
                </wp:positionV>
                <wp:extent cx="5670448" cy="1895527"/>
                <wp:effectExtent b="0" l="0" r="0" t="0"/>
                <wp:wrapNone/>
                <wp:docPr descr="&#10;" id="248"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670448" cy="1895527"/>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-14261</wp:posOffset>
            </wp:positionH>
            <wp:positionV relativeFrom="page">
              <wp:posOffset>-26467</wp:posOffset>
            </wp:positionV>
            <wp:extent cx="7610475" cy="10765571"/>
            <wp:effectExtent b="0" l="0" r="0" t="0"/>
            <wp:wrapSquare wrapText="bothSides" distB="0" distT="0" distL="0" distR="0"/>
            <wp:docPr id="2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-2248351</wp:posOffset>
            </wp:positionH>
            <wp:positionV relativeFrom="margin">
              <wp:posOffset>30867</wp:posOffset>
            </wp:positionV>
            <wp:extent cx="9895840" cy="7787005"/>
            <wp:effectExtent b="0" l="0" r="0" t="0"/>
            <wp:wrapNone/>
            <wp:docPr id="25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21:30</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Anna Luísa Sampaio Santos, Bruno Sousa Pereira, Bruna de Jesus Silva, Davi de Mélo Cordeiro, Davi Iwanow, Eduarda Novaes Gomes, Eduardo Chaud Peixoto, Érick Gabriel de Oliveira, Felipe Paschoini Reis, Gian Lucca Zancan Dinalli, Guilherme de Paula Figueiredo, Guilherme Magalhães Oliveira, Héctor Nunes Silva de Albuquerque, João Gabriel de Mendonça Teixeira, João Pedro Marquetti Barbosa, Júlia Miranda Brito, Luísa Tonin Arruda, Mariana de Paula Ivo, Nícholas Frutuoso Guimarães, Pedro Emílio de Paula Paiva, Raíssa Neves Souto, Roberto Magalhães Gomes Alves de Brito, Thiago Inácio Bovaretto, Wanderson Guilherme Santos.</w:t>
      </w:r>
    </w:p>
    <w:p w:rsidR="00000000" w:rsidDel="00000000" w:rsidP="00000000" w:rsidRDefault="00000000" w:rsidRPr="00000000" w14:paraId="00000007">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8">
      <w:pPr>
        <w:numPr>
          <w:ilvl w:val="0"/>
          <w:numId w:val="1"/>
        </w:numPr>
        <w:spacing w:after="200" w:before="20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9">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A">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Projetos incluíram a Reunião Semanal de Projetos, o gerenciamento das capacitações pela Diretoria de Projetos, as alterações no website JC conduzidas por Guilherme, gerenciamento do projeto Lary por Davi, a correção e feedbacks das capacitações, o contato com os Matheus do SDS feito pelo Érick, gerenciamento do projeto Renascer por Guilherme, descritivos do SDS e o manual SIEX feito pelo João.</w:t>
      </w:r>
    </w:p>
    <w:p w:rsidR="00000000" w:rsidDel="00000000" w:rsidP="00000000" w:rsidRDefault="00000000" w:rsidRPr="00000000" w14:paraId="0000000C">
      <w:pPr>
        <w:spacing w:after="240" w:before="240" w:line="48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de Projetos incluem a reunião semanal de Projetos, a finalização dos projetos JC e Lary, a gestão das capacitações na reta final, a elaboração do relatório SIEX da Reina e Restaurante Mirim, continuar o Website CONSELT e a adição do termo aditivo SDS.</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0F">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Marketing incluíram a gravação do vídeo do PS, a postagem do cronograma do PS, a organização dos próximos posts, a manutenção do Trello e do Drive, reunião de comerciUAU, o Alô CONSELT e a divulgação do PS.</w:t>
      </w:r>
    </w:p>
    <w:p w:rsidR="00000000" w:rsidDel="00000000" w:rsidP="00000000" w:rsidRDefault="00000000" w:rsidRPr="00000000" w14:paraId="00000011">
      <w:pPr>
        <w:spacing w:after="200" w:line="480" w:lineRule="auto"/>
        <w:ind w:left="284" w:firstLine="436"/>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de Marketing incluem a continuidade do Alô CONSELT, a divulgação do PS, realizar o post da esquete do PS e a manutenção do Trello e do Drive.</w:t>
      </w:r>
    </w:p>
    <w:p w:rsidR="00000000" w:rsidDel="00000000" w:rsidP="00000000" w:rsidRDefault="00000000" w:rsidRPr="00000000" w14:paraId="00000013">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4">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5">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Negócios incluíram prospecções, atualização de ferramentas, reunião de diretoria, análise de mercado, acompanhamento de qualidade e de negócios e simulações.</w:t>
      </w:r>
    </w:p>
    <w:p w:rsidR="00000000" w:rsidDel="00000000" w:rsidP="00000000" w:rsidRDefault="00000000" w:rsidRPr="00000000" w14:paraId="00000016">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7">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de Negócios incluem a continuidade das prospecções, a atualização de ferramentas, a reunião de coordenadoria, a continuidade da análise de mercado, as reuniões de checklist, a finalização do guia prospect e o treinamento de Rapport.</w:t>
      </w:r>
    </w:p>
    <w:p w:rsidR="00000000" w:rsidDel="00000000" w:rsidP="00000000" w:rsidRDefault="00000000" w:rsidRPr="00000000" w14:paraId="00000018">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9">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JF incluíram a reunião de Jurídico Financeiro, a confecção da ata da RG e a análise do contrato da terceirização SDS e apêndice e realizar os reembolsos quinzenais.</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C">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de JF incluem a reunião de Jurídico Financeiro, a elaboração da ata da Reunião Geral, a reunião da diretoria (Presin), a não solicitação de advertências, a reestruturação do PS da Presin e a confecção do termo aditivo SDS e do termo do JC.</w:t>
      </w:r>
    </w:p>
    <w:p w:rsidR="00000000" w:rsidDel="00000000" w:rsidP="00000000" w:rsidRDefault="00000000" w:rsidRPr="00000000" w14:paraId="0000001D">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1F">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0">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Parcerias incluíram a reunião de coordenadoria, a manutenção de parcerias, busca por patrocínio para o Dia Conselt, distribuição de demandas referente ao núcleo de eventos e o mapeamento de novas parcerias para a empresa.</w:t>
      </w:r>
    </w:p>
    <w:p w:rsidR="00000000" w:rsidDel="00000000" w:rsidP="00000000" w:rsidRDefault="00000000" w:rsidRPr="00000000" w14:paraId="00000021">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2">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de Parcerias incluem a reunião de coordenadoria, reunião de diretoria, a manutenção das parcerias vigentes, entrar em contato com possíveis parceiros e o mapeamento de novas parcerias para a empresa.</w:t>
      </w:r>
    </w:p>
    <w:p w:rsidR="00000000" w:rsidDel="00000000" w:rsidP="00000000" w:rsidRDefault="00000000" w:rsidRPr="00000000" w14:paraId="00000023">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24">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25">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6">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7">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Gestão de Pessoas incluíram atualizações do Trello e Drive, reunião de coordenadoria e diretoria, participação em capacitações, aplicação de advertência, contabilização do Clockify, cuidar do time CONSELT e a confecção do post de aniversário da Eduarda.</w:t>
      </w:r>
    </w:p>
    <w:p w:rsidR="00000000" w:rsidDel="00000000" w:rsidP="00000000" w:rsidRDefault="00000000" w:rsidRPr="00000000" w14:paraId="00000028">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9">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de Gestão de Pessoas incluem contabilização do Clockify e horário de sede, reunião de coordenadoria e diretoria, manutenção do Trello e Drive, não aplicar advertências e relatório da PCO feita pelo Roberto e pelo Guilherme.</w:t>
      </w:r>
    </w:p>
    <w:p w:rsidR="00000000" w:rsidDel="00000000" w:rsidP="00000000" w:rsidRDefault="00000000" w:rsidRPr="00000000" w14:paraId="0000002A">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B">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C">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de Qualidade incluíram a atualização do Trello e Drive, Qualyreunião, reunião de diretoria, continuação do Mapeamento do PS, acompanhamentos de projetos e parcerias, reuniões one-on-one, monitoramento de comercial, envio momento selt, acompanhamentos de qualidade e contato com a pós-junior Enya (coleta de dados comercial).</w:t>
      </w:r>
    </w:p>
    <w:p w:rsidR="00000000" w:rsidDel="00000000" w:rsidP="00000000" w:rsidRDefault="00000000" w:rsidRPr="00000000" w14:paraId="0000002D">
      <w:pPr>
        <w:spacing w:after="200" w:before="200" w:line="360" w:lineRule="auto"/>
        <w:ind w:left="1004"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de Qualidade incluem a Qualyreunião, a atualização do Trello e Drive, continuação do mapeamento do PS, marcar monitoramento de comercial, finalizar acompanhamentos  de qualidade e fechar o momento selt.</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reunião do Conselho Multiplicador, realização time RR, reuniões da Direx, colagem de pôsteres do PS nos blocos, bench ligamento, organização PS (CONSELT e Time RR), montagem da planilha dos candidatos, descrição completa do SDS, finalização do alinhamento para o contrato do SDS e análise do mesmo, análise de mercado e término da instalação do novo chip da Conselt.</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3">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pela Direx incluem reunião da Direx, terceirização do SDS, envio do termo aditivo do SDS, envio do Selo EJ, divulgação nas salas para o PS, PS time RR, benchs, última semana da primeira parte da análise de mercado e planejamento da nova fase e entrega dos crachás e bottons.</w:t>
      </w:r>
    </w:p>
    <w:p w:rsidR="00000000" w:rsidDel="00000000" w:rsidP="00000000" w:rsidRDefault="00000000" w:rsidRPr="00000000" w14:paraId="00000034">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w:t>
        <w:tab/>
      </w:r>
    </w:p>
    <w:p w:rsidR="00000000" w:rsidDel="00000000" w:rsidP="00000000" w:rsidRDefault="00000000" w:rsidRPr="00000000" w14:paraId="0000003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apresentação abordou os dados comerciais de 21/01 a 22/02, destacando o desempenho em marketing e negócios. No período, foram feitos 6 posts (2 reels e 4 comuns) e 11 stories, com um OKR atingido. Na área comercial, registraram-se 184 leads e 4 reuniões realizadas, conforme dados contabilizados em 23/02.</w:t>
      </w:r>
    </w:p>
    <w:p w:rsidR="00000000" w:rsidDel="00000000" w:rsidP="00000000" w:rsidRDefault="00000000" w:rsidRPr="00000000" w14:paraId="00000036">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desempenho individual variou ao longo das semanas, com um volume significativo de prospecções, mas poucas reuniões fechadas. Os dados foram apresentados para análise e definição de estratégias futuras.</w:t>
      </w:r>
    </w:p>
    <w:p w:rsidR="00000000" w:rsidDel="00000000" w:rsidP="00000000" w:rsidRDefault="00000000" w:rsidRPr="00000000" w14:paraId="00000037">
      <w:pPr>
        <w:spacing w:after="0" w:line="48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 Surpresa - Kanastra</w:t>
      </w:r>
    </w:p>
    <w:p w:rsidR="00000000" w:rsidDel="00000000" w:rsidP="00000000" w:rsidRDefault="00000000" w:rsidRPr="00000000" w14:paraId="00000039">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Tivemos a grata surpresa de receber a visita da empresa Kanastra, que veio divulgar seu processo seletivo. Durante a apresentação, 3 estagiários e 1 efetiva da área de ‘People’ compartilharam detalhes sobre a cultura da empresa, as oportunidades de crescimento e os requisitos para os candidatos interessados. Eles também responderam dúvidas dos participantes, destacando a importância de experiências extracurriculares e habilidades interpessoais no processo seletivo.</w:t>
      </w:r>
    </w:p>
    <w:p w:rsidR="00000000" w:rsidDel="00000000" w:rsidP="00000000" w:rsidRDefault="00000000" w:rsidRPr="00000000" w14:paraId="0000003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Além disso, a reunião abordou temas internos da empresa, como as áreas de atuação, seus parceiros e oportunidades de capacitação no ramo das finanças para quem entra na Kanastra. </w:t>
      </w:r>
    </w:p>
    <w:p w:rsidR="00000000" w:rsidDel="00000000" w:rsidP="00000000" w:rsidRDefault="00000000" w:rsidRPr="00000000" w14:paraId="0000003B">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Capacitação de Feedbacks </w:t>
      </w:r>
    </w:p>
    <w:p w:rsidR="00000000" w:rsidDel="00000000" w:rsidP="00000000" w:rsidRDefault="00000000" w:rsidRPr="00000000" w14:paraId="0000003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encontro, foi abordada a importância do feedback como ferramenta essencial para o desenvolvimento dos membros da empresa júnior. O feedback foi definido como um meio de orientar e instruir, com foco na melhoria de desempenho e maximização do potencial individual. Foram discutidos os dois tipos principais de feedback: positivo e construtivo, destacando a necessidade de um planejamento adequado, escolha do momento e local apropriados, além da aplicação de comunicação assertiva e não-violenta.</w:t>
      </w:r>
    </w:p>
    <w:p w:rsidR="00000000" w:rsidDel="00000000" w:rsidP="00000000" w:rsidRDefault="00000000" w:rsidRPr="00000000" w14:paraId="0000003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capacitação apresentou a estrutura ideal para a entrega de feedbacks eficazes, incluindo uma preparação prévia, apresentação do contexto, comunicação clara e objetiva e a identificação de pontos fortes e aspectos a serem melhorados. Também foi reforçada a importância da construção de um plano de ação para garantir que o feedback gere impacto real. Como exemplo prático, foi analisado o perfil de um membro fictício, demonstrando a aplicação das técnicas discutidas.</w:t>
      </w:r>
    </w:p>
    <w:p w:rsidR="00000000" w:rsidDel="00000000" w:rsidP="00000000" w:rsidRDefault="00000000" w:rsidRPr="00000000" w14:paraId="0000003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a fixação do aprendizado, os participantes foram divididos em grupos representando as diretorias da empresa júnior. Cada grupo, com o apoio da equipe de Gestão de Pessoas, foi responsável por elaborar e trocar feedbacks entre as diretorias, promovendo a colaboração e o crescimento organizacional.</w:t>
      </w:r>
    </w:p>
    <w:p w:rsidR="00000000" w:rsidDel="00000000" w:rsidP="00000000" w:rsidRDefault="00000000" w:rsidRPr="00000000" w14:paraId="0000003F">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after="20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numPr>
          <w:ilvl w:val="0"/>
          <w:numId w:val="1"/>
        </w:numPr>
        <w:spacing w:after="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4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foi dada a pauta de avisos, abordando a obrigatoriedade do preenchimento dos Forms enviados aos membros, a programação dos próximos eventos e recados importantes sobre o Processo Seletivo, que está aberto. Foi reforçado o engajamento esperado de todos, especialmente na divulgação em sala de aula, garantindo maior alcance e participação no PS.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7">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76200</wp:posOffset>
              </wp:positionV>
              <wp:extent cx="1821180" cy="495300"/>
              <wp:effectExtent b="0" l="0" r="0" t="0"/>
              <wp:wrapNone/>
              <wp:docPr id="247"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76200</wp:posOffset>
              </wp:positionV>
              <wp:extent cx="1821180" cy="495300"/>
              <wp:effectExtent b="0" l="0" r="0" t="0"/>
              <wp:wrapNone/>
              <wp:docPr id="24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21180" cy="4953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-1133454</wp:posOffset>
          </wp:positionH>
          <wp:positionV relativeFrom="paragraph">
            <wp:posOffset>47625</wp:posOffset>
          </wp:positionV>
          <wp:extent cx="7879229" cy="1009650"/>
          <wp:effectExtent b="0" l="0" r="0" t="0"/>
          <wp:wrapNone/>
          <wp:docPr id="25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-2752733</wp:posOffset>
          </wp:positionH>
          <wp:positionV relativeFrom="margin">
            <wp:posOffset>474774</wp:posOffset>
          </wp:positionV>
          <wp:extent cx="10553700" cy="9846918"/>
          <wp:effectExtent b="0" l="0" r="0" t="0"/>
          <wp:wrapNone/>
          <wp:docPr id="25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-228565</wp:posOffset>
          </wp:positionH>
          <wp:positionV relativeFrom="margin">
            <wp:posOffset>-662626</wp:posOffset>
          </wp:positionV>
          <wp:extent cx="1030605" cy="1013460"/>
          <wp:effectExtent b="0" l="0" r="0" t="0"/>
          <wp:wrapSquare wrapText="bothSides" distB="0" distT="0" distL="114300" distR="114300"/>
          <wp:docPr id="25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Vr8m0SKMfGj2/Dz2i2Hh8fh7g==">CgMxLjA4AHIhMU9QTG9hVkxncVl2SERBdXRwNk5rTmZwckJIYWxwejEy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