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1099187</wp:posOffset>
                </wp:positionH>
                <wp:positionV relativeFrom="page">
                  <wp:posOffset>4429478</wp:posOffset>
                </wp:positionV>
                <wp:extent cx="5641873" cy="1885975"/>
                <wp:effectExtent b="0" l="0" r="0" t="0"/>
                <wp:wrapNone/>
                <wp:docPr descr="&#10;" id="224"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2</w:t>
                            </w:r>
                            <w:r w:rsidDel="00000000" w:rsidR="00000000" w:rsidRPr="00000000">
                              <w:rPr>
                                <w:rFonts w:ascii="Montserrat" w:cs="Montserrat" w:eastAsia="Montserrat" w:hAnsi="Montserrat"/>
                                <w:b w:val="1"/>
                                <w:i w:val="1"/>
                                <w:smallCaps w:val="0"/>
                                <w:strike w:val="0"/>
                                <w:color w:val="ffffff"/>
                                <w:sz w:val="48"/>
                                <w:vertAlign w:val="baseline"/>
                              </w:rPr>
                              <w:t xml:space="preserve">7</w:t>
                            </w:r>
                            <w:r w:rsidDel="00000000" w:rsidR="00000000" w:rsidRPr="00000000">
                              <w:rPr>
                                <w:rFonts w:ascii="Montserrat" w:cs="Montserrat" w:eastAsia="Montserrat" w:hAnsi="Montserrat"/>
                                <w:b w:val="1"/>
                                <w:i w:val="1"/>
                                <w:smallCaps w:val="0"/>
                                <w:strike w:val="0"/>
                                <w:color w:val="ffffff"/>
                                <w:sz w:val="48"/>
                                <w:vertAlign w:val="baseline"/>
                              </w:rPr>
                              <w:t xml:space="preserve">/01/2025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1099187</wp:posOffset>
                </wp:positionH>
                <wp:positionV relativeFrom="page">
                  <wp:posOffset>4429478</wp:posOffset>
                </wp:positionV>
                <wp:extent cx="5641873" cy="1885975"/>
                <wp:effectExtent b="0" l="0" r="0" t="0"/>
                <wp:wrapNone/>
                <wp:docPr descr="&#10;" id="224"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641873" cy="1885975"/>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2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-14264</wp:posOffset>
            </wp:positionH>
            <wp:positionV relativeFrom="page">
              <wp:posOffset>-26470</wp:posOffset>
            </wp:positionV>
            <wp:extent cx="7610475" cy="10765571"/>
            <wp:effectExtent b="0" l="0" r="0" t="0"/>
            <wp:wrapSquare wrapText="bothSides" distB="0" distT="0" distL="0" distR="0"/>
            <wp:docPr id="23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-2248355</wp:posOffset>
            </wp:positionH>
            <wp:positionV relativeFrom="margin">
              <wp:posOffset>30867</wp:posOffset>
            </wp:positionV>
            <wp:extent cx="9895840" cy="7787005"/>
            <wp:effectExtent b="0" l="0" r="0" t="0"/>
            <wp:wrapNone/>
            <wp:docPr id="22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20:49</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Bruna de Jesus Silva, Camilly Santos Corrêa, Cairo Carrara Floripe, Davi de Mélo Cordeiro, Davi Iwanow, Eduarda Novaes Gomes, Érick Gabriel de Oliveira, Felipe Paschoini Reis, Gian Lucca Zancan Dinalli, Guilherme de Paula Figueiredo, Guilherme Issy Abrão, Guilherme Magalhães Oliveira, Isadora Corrêa Moura, João Gabriel de Mendonça Teixeira, João Pedro Franco Barbosa, João Pedro Marquetti Barbosa, Júlia Miranda Brito, Luísa Tonin Arruda, Mariana de Paula Ivo, Nícholas Frutuoso Guimarães, Raíssa Neves Souto, Roberto Magalhães Gomes Alves de Brito, Thiago Inácio Bovaretto, Wanderson Guilherme Santos, Wuyltton Batista de Sousa. </w:t>
      </w:r>
    </w:p>
    <w:p w:rsidR="00000000" w:rsidDel="00000000" w:rsidP="00000000" w:rsidRDefault="00000000" w:rsidRPr="00000000" w14:paraId="00000007">
      <w:pPr>
        <w:ind w:left="0" w:right="55"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numPr>
          <w:ilvl w:val="0"/>
          <w:numId w:val="1"/>
        </w:numPr>
        <w:spacing w:after="0" w:line="360" w:lineRule="auto"/>
        <w:ind w:left="720" w:hanging="360"/>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Pauta Surpresa (Maria da Ambev)</w:t>
      </w:r>
    </w:p>
    <w:p w:rsidR="00000000" w:rsidDel="00000000" w:rsidP="00000000" w:rsidRDefault="00000000" w:rsidRPr="00000000" w14:paraId="0000000A">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a reunião, foi apresentada uma pauta surpresa por Maria da Ambev, que trouxe informações valiosas e oportunidades interessantes para todos os presentes. Ela começou compartilhando uma amostra dos cargos disponíveis dentro da empresa, destacando algumas das vagas abertas no momento. Também foi mostrado todos os benefícios de se estar inserido em uma empresa como a AMBEV.</w:t>
      </w:r>
    </w:p>
    <w:p w:rsidR="00000000" w:rsidDel="00000000" w:rsidP="00000000" w:rsidRDefault="00000000" w:rsidRPr="00000000" w14:paraId="0000000B">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Além disso, Maria abordou o Programa Jovem Aprendiz, que é uma excelente porta de entrada para jovens no mercado de trabalho. O programa oferece oportunidades para que jovens adquiram experiência profissional e desenvolvam habilidades importantes para suas carreiras futuras. Ao participar do Programa Jovem Aprendiz, os jovens têm a chance de combinar estudos com a prática profissional, recebendo treinamento e orientação dentro do ambiente corporativo, o que facilita sua inserção no mercado de trabalho e contribui para seu crescimento pessoal e profissional.</w:t>
      </w:r>
    </w:p>
    <w:p w:rsidR="00000000" w:rsidDel="00000000" w:rsidP="00000000" w:rsidRDefault="00000000" w:rsidRPr="00000000" w14:paraId="0000000C">
      <w:pPr>
        <w:spacing w:after="0" w:line="360" w:lineRule="auto"/>
        <w:ind w:left="0" w:firstLine="0"/>
        <w:rPr>
          <w:rFonts w:ascii="Montserrat" w:cs="Montserrat" w:eastAsia="Montserrat" w:hAnsi="Montserrat"/>
          <w:b w:val="1"/>
          <w:sz w:val="32"/>
          <w:szCs w:val="32"/>
        </w:rPr>
      </w:pPr>
      <w:r w:rsidDel="00000000" w:rsidR="00000000" w:rsidRPr="00000000">
        <w:rPr>
          <w:rtl w:val="0"/>
        </w:rPr>
      </w:r>
    </w:p>
    <w:p w:rsidR="00000000" w:rsidDel="00000000" w:rsidP="00000000" w:rsidRDefault="00000000" w:rsidRPr="00000000" w14:paraId="0000000D">
      <w:pPr>
        <w:numPr>
          <w:ilvl w:val="0"/>
          <w:numId w:val="1"/>
        </w:numPr>
        <w:spacing w:after="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E">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F">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Projetos incluíram a Reunião Semanal de Projetos, a Confecção das Capacitações pela Diretoria de Projetos, a Gerência do Projeto Lary por Davi, a Gerência do Projeto JC Engenharia por Guilherme, e a Gerência dos Projetos Renascer, SDS e Reina por Érick. Além disso, João G. e Érick participaram do Bench com a CriarJr, e a Diretoria de Projetos conduziu as Primeiras Sprints de Capacitação. João G. e Érick também estiveram envolvidos na Confecção do Projeto Renascer. Reuniões estratégicas foram realizadas, como a Reunião com a Lary liderada por Davi e a Reunião com a JC liderada por Guilherme. A Confecção do Projeto Lary contou com o trabalho conjunto de Davi, Guilherme e Isadora. Por fim, Érick realizou o acompanhamento de GP.</w:t>
      </w:r>
    </w:p>
    <w:p w:rsidR="00000000" w:rsidDel="00000000" w:rsidP="00000000" w:rsidRDefault="00000000" w:rsidRPr="00000000" w14:paraId="00000011">
      <w:pPr>
        <w:spacing w:after="240" w:before="240" w:line="48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2">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Projetos incluem a Reunião Semanal de Projetos, a Reunião com o cliente da Renascer conduzida por João G., e a Reunião com Reina liderada por Erick. Além disso, estão programados o Acompanhamento de Qualidade e as gerências dos projetos, sendo o Projeto Lary gerenciado por Davi Iwanow, o Projeto JC Engenharia por Guilherme, e os Projetos Renascer, SDS e Reina sob a responsabilidade de Érick. </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4">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5">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Marketing incluíram a criação da Arte do Dia ComerciUAU, as primeiras postagens da gestão no Instagram e Facebook, a organização dos próximos posts, a manutenção do Trello, a reunião de MKT e monitoramento de qualidade, o projeto Alô CONSELT e a contagem regressiva para o PS.</w:t>
      </w:r>
    </w:p>
    <w:p w:rsidR="00000000" w:rsidDel="00000000" w:rsidP="00000000" w:rsidRDefault="00000000" w:rsidRPr="00000000" w14:paraId="00000016">
      <w:pPr>
        <w:spacing w:after="200" w:line="480" w:lineRule="auto"/>
        <w:ind w:left="284" w:firstLine="436"/>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7">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Marketing incluem a continuação do projeto Alô CONSELT, a preparação para o PS, a finalização dos posts planejados, a finalização dos crachás e assinaturas eletrônicas, e a manutenção do Trello e do Drive.</w:t>
      </w:r>
    </w:p>
    <w:p w:rsidR="00000000" w:rsidDel="00000000" w:rsidP="00000000" w:rsidRDefault="00000000" w:rsidRPr="00000000" w14:paraId="00000018">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9">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A">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Negócios incluíram prospecções, atualizações de ferramentas, a reunião de coordenadoria, a escrita do Guia de Prospect, o início da análise de mercado, os preparativos para o blog e para o Dia ComerciUau, a reunião de diagnóstico (JP) e as reuniões One on One.</w:t>
      </w:r>
    </w:p>
    <w:p w:rsidR="00000000" w:rsidDel="00000000" w:rsidP="00000000" w:rsidRDefault="00000000" w:rsidRPr="00000000" w14:paraId="0000001B">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C">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Negócios incluem prospecções, atualizações de ferramentas, reunião de coordenadoria, continuação da análise de mercado, preparativos para o Dia ComerciUAU, reunião de diretoria e reuniões de checklist. </w:t>
      </w:r>
    </w:p>
    <w:p w:rsidR="00000000" w:rsidDel="00000000" w:rsidP="00000000" w:rsidRDefault="00000000" w:rsidRPr="00000000" w14:paraId="0000001D">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E">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Jurídico Financeiro incluíram a reunião de Jurídico Financeiro, a reunião de Diretoria, a confecção da Ata da RG, as solicitações de advertência por falta e o auxílio com as solicitações.</w:t>
      </w:r>
    </w:p>
    <w:p w:rsidR="00000000" w:rsidDel="00000000" w:rsidP="00000000" w:rsidRDefault="00000000" w:rsidRPr="00000000" w14:paraId="00000020">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21">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Jurídico Financeiro incluem a reunião de Jurídico Financeiro, a elaboração da Ata da Reunião Geral, a esperança de não solicitar advertências e a finalização das solicitações.</w:t>
      </w:r>
    </w:p>
    <w:p w:rsidR="00000000" w:rsidDel="00000000" w:rsidP="00000000" w:rsidRDefault="00000000" w:rsidRPr="00000000" w14:paraId="00000022">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4">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5">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Parcerias incluíram a organização do Drive, a atualização do Trello, a estruturação do núcleo de eventos, a estruturação do Dia Conselt e o planejamento de parcerias.</w:t>
      </w:r>
    </w:p>
    <w:p w:rsidR="00000000" w:rsidDel="00000000" w:rsidP="00000000" w:rsidRDefault="00000000" w:rsidRPr="00000000" w14:paraId="00000026">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7">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Parcerias incluem a reunião de planejamento estratégico, o bench com a Projep e a busca por parcerias estratégicas.</w:t>
      </w:r>
    </w:p>
    <w:p w:rsidR="00000000" w:rsidDel="00000000" w:rsidP="00000000" w:rsidRDefault="00000000" w:rsidRPr="00000000" w14:paraId="00000028">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9">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A">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GP incluíram as reuniões One on One, as atualizações do Trello e Drive, a reunião de coordenadoria e diretoria, a participação em capacitações, a aplicação de advertência, a contabilização do clockify, o cuidado do Time CONSELT, a organização de pautas futuras (PDA) e o início dos acompanhamentos. </w:t>
      </w:r>
    </w:p>
    <w:p w:rsidR="00000000" w:rsidDel="00000000" w:rsidP="00000000" w:rsidRDefault="00000000" w:rsidRPr="00000000" w14:paraId="0000002B">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C">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GP incluem contabilizar o Clockify, realizar a reunião de coordenadoria, não aplicar advertência, manter o Trello e o Drive atualizados, cuidar do Time CONSELT, continuar os acompanhamentos de GP e confeccionar stories de aniversário.</w:t>
      </w:r>
    </w:p>
    <w:p w:rsidR="00000000" w:rsidDel="00000000" w:rsidP="00000000" w:rsidRDefault="00000000" w:rsidRPr="00000000" w14:paraId="0000002D">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E">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atualização do Trello e do Drive, a Qualyreunião, a continuação do mapeamento do PS, os monitoramentos de Comercial, o envio do 1º MomentoSelt para Lary e JC Engenharia, além de marcar os acompanhamentos de Projetos e Parcerias.</w:t>
      </w:r>
    </w:p>
    <w:p w:rsidR="00000000" w:rsidDel="00000000" w:rsidP="00000000" w:rsidRDefault="00000000" w:rsidRPr="00000000" w14:paraId="00000030">
      <w:pPr>
        <w:spacing w:after="200" w:before="200" w:line="360" w:lineRule="auto"/>
        <w:ind w:left="1004"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Qualidade incluem a Qualyreunião, a atualização do Trello e do Drive, a continuação do mapeamento do PS, o acompanhamento de Parcerias, o acompanhamento de Projetos e o sorteio para a limpeza da sede.</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33">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4">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Direx, a RV do Conselho, a Confecção e Envio dos Termos de Voluntariado do Conselho Estratégico, a Confecção da apresentação do PE, a Validação de Membros no Portal BJ, a Continuação da organização do Dia ComerciUAU e da Análise de Mercado, a Finalização do planejamento financeiro, a Definição das metas do PE (Presin), o Bench com a CriaJr, as Reuniões one-on-ones e o Contato com o Guardião.</w:t>
      </w:r>
    </w:p>
    <w:p w:rsidR="00000000" w:rsidDel="00000000" w:rsidP="00000000" w:rsidRDefault="00000000" w:rsidRPr="00000000" w14:paraId="00000035">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6">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pela DIREX incluem a Reunião Direx, a Reunião com o Conselho Multiplicador, as one-on-ones, a continuação da Análise de Mercado e organização do Dia ComerciUAU, a Reunião com a Reina, mais Bench’s e o envio do Descritivo de Cargo.</w:t>
      </w:r>
    </w:p>
    <w:p w:rsidR="00000000" w:rsidDel="00000000" w:rsidP="00000000" w:rsidRDefault="00000000" w:rsidRPr="00000000" w14:paraId="00000037">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Conselho Estratégico 2025:</w:t>
      </w:r>
    </w:p>
    <w:p w:rsidR="00000000" w:rsidDel="00000000" w:rsidP="00000000" w:rsidRDefault="00000000" w:rsidRPr="00000000" w14:paraId="00000038">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Estamos entusiasmados em apresentar o Conselho Estratégico CONSELT 2025, composto por membros dedicados e experientes, incluindo alguns da gestão passada e outros de gestões anteriores. Os membros do conselho são Enya Maria, Letícia Sanches, Matheus Vinícius, Marcelo Augusto, Nathan Augusto e Jhonatã Tomé.</w:t>
      </w:r>
    </w:p>
    <w:p w:rsidR="00000000" w:rsidDel="00000000" w:rsidP="00000000" w:rsidRDefault="00000000" w:rsidRPr="00000000" w14:paraId="00000039">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 específicas de Projetos</w:t>
      </w:r>
    </w:p>
    <w:p w:rsidR="00000000" w:rsidDel="00000000" w:rsidP="00000000" w:rsidRDefault="00000000" w:rsidRPr="00000000" w14:paraId="0000003A">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a reunião, foi apresentada a pauta sobre transparências específicas de projetos por todos os membros da coordenadoria. Essa pauta faz parte de um projeto novo que tenta suprir a dificuldade da empresa em saber o que exatamente cada área faz. Os membros abordaram essa questão destacando a importância de uma comunicação mais clara e eficiente.</w:t>
      </w:r>
    </w:p>
    <w:p w:rsidR="00000000" w:rsidDel="00000000" w:rsidP="00000000" w:rsidRDefault="00000000" w:rsidRPr="00000000" w14:paraId="0000003B">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Além disso, falaram sobre o SDS, tentando amenizar a situação, agendar algumas reuniões e finalizar o projeto. Também discutiram outros projetos, como a REINA e Renascer, compartilhando atualizações e planos futuros.</w:t>
      </w:r>
    </w:p>
    <w:p w:rsidR="00000000" w:rsidDel="00000000" w:rsidP="00000000" w:rsidRDefault="00000000" w:rsidRPr="00000000" w14:paraId="0000003C">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membros falaram sobre as capacitações que estão acontecendo, destacando a importância de voltar a ter projetos na área de Engenharia Elétrica, ressaltando a relevância dessas iniciativas para o desenvolvimento e sucesso da CONSELT.</w:t>
      </w:r>
    </w:p>
    <w:p w:rsidR="00000000" w:rsidDel="00000000" w:rsidP="00000000" w:rsidRDefault="00000000" w:rsidRPr="00000000" w14:paraId="0000003D">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Planejamento Estratégico</w:t>
      </w:r>
      <w:r w:rsidDel="00000000" w:rsidR="00000000" w:rsidRPr="00000000">
        <w:rPr>
          <w:rtl w:val="0"/>
        </w:rPr>
      </w:r>
    </w:p>
    <w:p w:rsidR="00000000" w:rsidDel="00000000" w:rsidP="00000000" w:rsidRDefault="00000000" w:rsidRPr="00000000" w14:paraId="0000003E">
      <w:pPr>
        <w:spacing w:after="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a reunião, Davi Cordeiro apresentou a pauta de Planejamento Estratégico, que abordou itens fundamentais para o desenvolvimento e sucesso da CONSELT. A pauta incluiu o diagnóstico da CONSELT, a definição dos OKRs (Objectives and Key Results) e o acompanhamento dos resultados dessas metas. Também foram definidos planos de ações e realizada uma análise SWOT para identificar pontos fortes, fracos, oportunidades e ameaças. Davi destacou até onde a CONSELT pode chegar, reforçando a importância de definir objetivos estratégicos, táticos e operacionais para alcançar o sucesso desejado.</w:t>
      </w:r>
      <w:r w:rsidDel="00000000" w:rsidR="00000000" w:rsidRPr="00000000">
        <w:rPr>
          <w:rtl w:val="0"/>
        </w:rPr>
      </w:r>
    </w:p>
    <w:p w:rsidR="00000000" w:rsidDel="00000000" w:rsidP="00000000" w:rsidRDefault="00000000" w:rsidRPr="00000000" w14:paraId="0000003F">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40">
      <w:pPr>
        <w:spacing w:after="200" w:line="48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tivemos os avisos no final da Reunião Geral. Foram comentados sobre o envio do formulário do planejamento financeiro, o envio do formulário do horário de sede e, por fim, a divulgação da possibilidade da realização da primeira reunião presencial da Gestão.</w:t>
      </w:r>
    </w:p>
    <w:p w:rsidR="00000000" w:rsidDel="00000000" w:rsidP="00000000" w:rsidRDefault="00000000" w:rsidRPr="00000000" w14:paraId="00000041">
      <w:pPr>
        <w:spacing w:after="200" w:line="48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spacing w:after="200" w:line="48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numPr>
          <w:ilvl w:val="0"/>
          <w:numId w:val="1"/>
        </w:numPr>
        <w:spacing w:after="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44">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os membros  Davi Iwanow, Isadora Correa Moura , Joao Pedro Franco e Joao Pedro Marquetti leram a caixinha de elogios.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9">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114300</wp:posOffset>
              </wp:positionV>
              <wp:extent cx="1792605" cy="466725"/>
              <wp:effectExtent b="0" l="0" r="0" t="0"/>
              <wp:wrapNone/>
              <wp:docPr id="223"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114300</wp:posOffset>
              </wp:positionV>
              <wp:extent cx="1792605" cy="466725"/>
              <wp:effectExtent b="0" l="0" r="0" t="0"/>
              <wp:wrapNone/>
              <wp:docPr id="22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92605" cy="466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-1133457</wp:posOffset>
          </wp:positionH>
          <wp:positionV relativeFrom="paragraph">
            <wp:posOffset>47625</wp:posOffset>
          </wp:positionV>
          <wp:extent cx="7879229" cy="1009650"/>
          <wp:effectExtent b="0" l="0" r="0" t="0"/>
          <wp:wrapNone/>
          <wp:docPr id="229"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-2752736</wp:posOffset>
          </wp:positionH>
          <wp:positionV relativeFrom="margin">
            <wp:posOffset>474774</wp:posOffset>
          </wp:positionV>
          <wp:extent cx="10553700" cy="9846918"/>
          <wp:effectExtent b="0" l="0" r="0" t="0"/>
          <wp:wrapNone/>
          <wp:docPr id="2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-228568</wp:posOffset>
          </wp:positionH>
          <wp:positionV relativeFrom="margin">
            <wp:posOffset>-662630</wp:posOffset>
          </wp:positionV>
          <wp:extent cx="1030605" cy="1013460"/>
          <wp:effectExtent b="0" l="0" r="0" t="0"/>
          <wp:wrapSquare wrapText="bothSides" distB="0" distT="0" distL="114300" distR="114300"/>
          <wp:docPr id="22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KZRKGnVtpVlOJy7k/6f7hzDIg==">CgMxLjA4AHIhMUpzRDBFeU5UQkVwZUZrM0JyV2VFSVpVUzNEQ0pKdkFG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