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7F85C919" w14:textId="32A9BC7D"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¿Cuál es el tipo de aprendizaje? ¿Si es aprendizaje supervisado, indicar qué se predice? ¿Cuáles son los posibles resultados de la tarea de aprendizaje? ¿Cuándo se observan los resultados de esta tarea? Por ejemplo, si es un modelo predictivo indicar si el resultado se obtiene unas horas, días, semanas, o meses antes.</w:t>
            </w: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111A936A"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convierten los resultados del modelo en recomendaciones o decisiones procesables para el usuario final?</w:t>
            </w: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6E91C43C" w14:textId="3F494836"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¿Quién es el beneficiario final? ¿De qué empresa es? ¿Qué problemas específicos se abordan? ¿Qué riesgo puede tener para ese beneficiario el uso de este modelo? </w:t>
            </w: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3842BAF7"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fuentes de datos se utilizan? (Mencione tablas de bases de datos internas y externas o métodos API). ¿De dónde se toman los datos? ¿Se pueden utilizar para realizar el objetivo del análisis?</w:t>
            </w: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49699BB4" w14:textId="67E61744"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¿Cuáles son los valores de costo/beneficio de las decisiones (in)correctas? ¿Cuáles son los criterios de </w:t>
            </w:r>
            <w:r w:rsidRPr="558D8E3A">
              <w:rPr>
                <w:rFonts w:ascii="Calibri" w:eastAsia="Calibri" w:hAnsi="Calibri" w:cs="Calibri"/>
                <w:color w:val="999999"/>
                <w:sz w:val="16"/>
                <w:szCs w:val="16"/>
                <w:lang w:val="es-CO"/>
              </w:rPr>
              <w:lastRenderedPageBreak/>
              <w:t>éxito del modelo para su posterior despliegue? ¿Existen restricciones de equidad?</w:t>
            </w: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0727CBB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¿El uso del modelo es por lotes o en tiempo real? ¿Con qué frecuencia se usa? </w:t>
            </w: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4D4104EA"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¿Cuántos modelos se necesitan? ¿Cuándo deben actualizarse? ¿De cuánto tiempo se </w:t>
            </w:r>
            <w:r w:rsidRPr="558D8E3A">
              <w:rPr>
                <w:rFonts w:ascii="Calibri" w:eastAsia="Calibri" w:hAnsi="Calibri" w:cs="Calibri"/>
                <w:color w:val="999999"/>
                <w:sz w:val="16"/>
                <w:szCs w:val="16"/>
                <w:lang w:val="es-CO"/>
              </w:rPr>
              <w:lastRenderedPageBreak/>
              <w:t xml:space="preserve">dispone para generar el modelo (incluido el proceso de ingeniería de características y el análisis o evaluación del mismo)? </w:t>
            </w: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7BF262F" w14:textId="4F4015CC"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variables/características se utilizan en el modelo? ¿Qué agregaciones o transformaciones se aplican a las fuentes de datos originales – incluir las más importantes--?</w:t>
            </w: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CD2625"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Dorard, Ph.D. Licensed under a </w:t>
            </w:r>
            <w:hyperlink r:id="rId20">
              <w:r w:rsidRPr="0DBC9C2B">
                <w:rPr>
                  <w:rStyle w:val="Hipervnculo"/>
                  <w:rFonts w:ascii="Poppins" w:eastAsia="Poppins" w:hAnsi="Poppins" w:cs="Poppins"/>
                  <w:sz w:val="12"/>
                  <w:szCs w:val="12"/>
                  <w:lang w:val="en-US"/>
                </w:rPr>
                <w:t>Creative Commons Attribution-ShareAlike 4.0 International License</w:t>
              </w:r>
            </w:hyperlink>
            <w:r w:rsidRPr="0DBC9C2B">
              <w:rPr>
                <w:rFonts w:ascii="Poppins" w:eastAsia="Poppins" w:hAnsi="Poppins" w:cs="Poppins"/>
                <w:sz w:val="12"/>
                <w:szCs w:val="12"/>
                <w:lang w:val="en-US"/>
              </w:rPr>
              <w:t>.</w:t>
            </w:r>
            <w:r w:rsidRPr="00CD2625">
              <w:rPr>
                <w:lang w:val="en-US"/>
              </w:rP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EC872" w14:textId="77777777" w:rsidR="00A9533E" w:rsidRDefault="00A9533E" w:rsidP="001B2354">
      <w:pPr>
        <w:spacing w:after="0" w:line="240" w:lineRule="auto"/>
      </w:pPr>
      <w:r>
        <w:separator/>
      </w:r>
    </w:p>
  </w:endnote>
  <w:endnote w:type="continuationSeparator" w:id="0">
    <w:p w14:paraId="38F75378" w14:textId="77777777" w:rsidR="00A9533E" w:rsidRDefault="00A9533E"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D79A3" w14:textId="77777777" w:rsidR="00A9533E" w:rsidRDefault="00A9533E" w:rsidP="001B2354">
      <w:pPr>
        <w:spacing w:after="0" w:line="240" w:lineRule="auto"/>
      </w:pPr>
      <w:r>
        <w:separator/>
      </w:r>
    </w:p>
  </w:footnote>
  <w:footnote w:type="continuationSeparator" w:id="0">
    <w:p w14:paraId="08FF2ACF" w14:textId="77777777" w:rsidR="00A9533E" w:rsidRDefault="00A9533E"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F26C2"/>
    <w:rsid w:val="00A9533E"/>
    <w:rsid w:val="00AF3530"/>
    <w:rsid w:val="00CD2625"/>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Felipe Hernandez Paez</cp:lastModifiedBy>
  <cp:revision>4</cp:revision>
  <dcterms:created xsi:type="dcterms:W3CDTF">2025-02-20T22:59:00Z</dcterms:created>
  <dcterms:modified xsi:type="dcterms:W3CDTF">2025-09-06T21:07:00Z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