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E7FB9" w14:textId="77777777" w:rsidR="005D21B3" w:rsidRDefault="00000000">
      <w:pPr>
        <w:jc w:val="center"/>
        <w:rPr>
          <w:lang w:eastAsia="zh-CN"/>
        </w:rPr>
      </w:pPr>
      <w:r>
        <w:rPr>
          <w:rFonts w:eastAsia="黑体"/>
          <w:b/>
          <w:sz w:val="36"/>
          <w:lang w:eastAsia="zh-CN"/>
        </w:rPr>
        <w:t>第</w:t>
      </w:r>
      <w:r>
        <w:rPr>
          <w:rFonts w:eastAsia="黑体"/>
          <w:b/>
          <w:sz w:val="36"/>
          <w:lang w:eastAsia="zh-CN"/>
        </w:rPr>
        <w:t xml:space="preserve"> 11 </w:t>
      </w:r>
      <w:r>
        <w:rPr>
          <w:rFonts w:eastAsia="黑体"/>
          <w:b/>
          <w:sz w:val="36"/>
          <w:lang w:eastAsia="zh-CN"/>
        </w:rPr>
        <w:t>章大模型诊断案例实验指导书</w:t>
      </w:r>
    </w:p>
    <w:p w14:paraId="7FD938D8" w14:textId="77777777" w:rsidR="005D21B3" w:rsidRDefault="00000000">
      <w:pPr>
        <w:pStyle w:val="1"/>
        <w:rPr>
          <w:lang w:eastAsia="zh-CN"/>
        </w:rPr>
      </w:pPr>
      <w:r>
        <w:rPr>
          <w:lang w:eastAsia="zh-CN"/>
        </w:rPr>
        <w:t xml:space="preserve">1. </w:t>
      </w:r>
      <w:r>
        <w:rPr>
          <w:lang w:eastAsia="zh-CN"/>
        </w:rPr>
        <w:t>实验名称</w:t>
      </w:r>
    </w:p>
    <w:p w14:paraId="4B66BE3D" w14:textId="77777777" w:rsidR="005D21B3" w:rsidRDefault="00000000">
      <w:pPr>
        <w:rPr>
          <w:lang w:eastAsia="zh-CN"/>
        </w:rPr>
      </w:pPr>
      <w:r>
        <w:rPr>
          <w:lang w:eastAsia="zh-CN"/>
        </w:rPr>
        <w:t>第</w:t>
      </w:r>
      <w:r>
        <w:rPr>
          <w:lang w:eastAsia="zh-CN"/>
        </w:rPr>
        <w:t xml:space="preserve"> 11 </w:t>
      </w:r>
      <w:r>
        <w:rPr>
          <w:lang w:eastAsia="zh-CN"/>
        </w:rPr>
        <w:t>章大模型诊断案例实验。本指导书合并两个教学案例，用于说明大模型如何通过文本接口或时序适配接口进入轴承故障诊断任务。</w:t>
      </w:r>
    </w:p>
    <w:p w14:paraId="3F9D0918" w14:textId="77777777" w:rsidR="005D21B3" w:rsidRDefault="00000000">
      <w:pPr>
        <w:pStyle w:val="1"/>
        <w:rPr>
          <w:lang w:eastAsia="zh-CN"/>
        </w:rPr>
      </w:pPr>
      <w:r>
        <w:rPr>
          <w:lang w:eastAsia="zh-CN"/>
        </w:rPr>
        <w:t xml:space="preserve">2. </w:t>
      </w:r>
      <w:r>
        <w:rPr>
          <w:lang w:eastAsia="zh-CN"/>
        </w:rPr>
        <w:t>实验目的</w:t>
      </w:r>
    </w:p>
    <w:p w14:paraId="0672BCE2" w14:textId="77777777" w:rsidR="005D21B3" w:rsidRDefault="00000000">
      <w:pPr>
        <w:rPr>
          <w:lang w:eastAsia="zh-CN"/>
        </w:rPr>
      </w:pPr>
      <w:r>
        <w:rPr>
          <w:lang w:eastAsia="zh-CN"/>
        </w:rPr>
        <w:t>本实验的重点是理解任务接口和建模路线，而不是追求完整复现大型训练工程。完成实验后，学生应能够区分大模型知识问答、特征文本化故障分类和振动序列分类这几类不同任务。</w:t>
      </w:r>
    </w:p>
    <w:p w14:paraId="7AC4D170" w14:textId="77777777" w:rsidR="005D21B3" w:rsidRDefault="00000000">
      <w:pPr>
        <w:pStyle w:val="a0"/>
        <w:rPr>
          <w:lang w:eastAsia="zh-CN"/>
        </w:rPr>
      </w:pPr>
      <w:r>
        <w:rPr>
          <w:lang w:eastAsia="zh-CN"/>
        </w:rPr>
        <w:t>能够解释</w:t>
      </w:r>
      <w:r>
        <w:rPr>
          <w:lang w:eastAsia="zh-CN"/>
        </w:rPr>
        <w:t>“</w:t>
      </w:r>
      <w:r>
        <w:rPr>
          <w:lang w:eastAsia="zh-CN"/>
        </w:rPr>
        <w:t>特征文本化</w:t>
      </w:r>
      <w:r>
        <w:rPr>
          <w:lang w:eastAsia="zh-CN"/>
        </w:rPr>
        <w:t xml:space="preserve"> + ChatGLM2-6B-chat”</w:t>
      </w:r>
      <w:r>
        <w:rPr>
          <w:lang w:eastAsia="zh-CN"/>
        </w:rPr>
        <w:t>如何把</w:t>
      </w:r>
      <w:r>
        <w:rPr>
          <w:lang w:eastAsia="zh-CN"/>
        </w:rPr>
        <w:t xml:space="preserve"> 24 </w:t>
      </w:r>
      <w:r>
        <w:rPr>
          <w:lang w:eastAsia="zh-CN"/>
        </w:rPr>
        <w:t>个统计特征组织为监督微调样本。</w:t>
      </w:r>
    </w:p>
    <w:p w14:paraId="6BA39D63" w14:textId="77777777" w:rsidR="005D21B3" w:rsidRDefault="00000000">
      <w:pPr>
        <w:pStyle w:val="a0"/>
        <w:rPr>
          <w:lang w:eastAsia="zh-CN"/>
        </w:rPr>
      </w:pPr>
      <w:r>
        <w:rPr>
          <w:lang w:eastAsia="zh-CN"/>
        </w:rPr>
        <w:t>能够解释</w:t>
      </w:r>
      <w:r>
        <w:rPr>
          <w:lang w:eastAsia="zh-CN"/>
        </w:rPr>
        <w:t>“</w:t>
      </w:r>
      <w:r>
        <w:rPr>
          <w:lang w:eastAsia="zh-CN"/>
        </w:rPr>
        <w:t>振动序列补丁化</w:t>
      </w:r>
      <w:r>
        <w:rPr>
          <w:lang w:eastAsia="zh-CN"/>
        </w:rPr>
        <w:t xml:space="preserve"> + GPT-2”</w:t>
      </w:r>
      <w:r>
        <w:rPr>
          <w:lang w:eastAsia="zh-CN"/>
        </w:rPr>
        <w:t>如何通过</w:t>
      </w:r>
      <w:r>
        <w:rPr>
          <w:lang w:eastAsia="zh-CN"/>
        </w:rPr>
        <w:t xml:space="preserve"> patching</w:t>
      </w:r>
      <w:r>
        <w:rPr>
          <w:lang w:eastAsia="zh-CN"/>
        </w:rPr>
        <w:t>、一维卷积嵌入和位置编码接入时序信号。</w:t>
      </w:r>
    </w:p>
    <w:p w14:paraId="7ED9C7C9" w14:textId="77777777" w:rsidR="005D21B3" w:rsidRDefault="00000000">
      <w:pPr>
        <w:pStyle w:val="a0"/>
        <w:rPr>
          <w:lang w:eastAsia="zh-CN"/>
        </w:rPr>
      </w:pPr>
      <w:r>
        <w:rPr>
          <w:lang w:eastAsia="zh-CN"/>
        </w:rPr>
        <w:t>能够比较</w:t>
      </w:r>
      <w:r>
        <w:rPr>
          <w:lang w:eastAsia="zh-CN"/>
        </w:rPr>
        <w:t xml:space="preserve"> LoRA</w:t>
      </w:r>
      <w:r>
        <w:rPr>
          <w:lang w:eastAsia="zh-CN"/>
        </w:rPr>
        <w:t>、</w:t>
      </w:r>
      <w:r>
        <w:rPr>
          <w:lang w:eastAsia="zh-CN"/>
        </w:rPr>
        <w:t>QLoRA</w:t>
      </w:r>
      <w:r>
        <w:rPr>
          <w:lang w:eastAsia="zh-CN"/>
        </w:rPr>
        <w:t>、冻结主干和轻量适配在实验资源约束下的作用。</w:t>
      </w:r>
    </w:p>
    <w:p w14:paraId="03D26EB9" w14:textId="77777777" w:rsidR="005D21B3" w:rsidRDefault="00000000">
      <w:pPr>
        <w:pStyle w:val="a0"/>
        <w:rPr>
          <w:lang w:eastAsia="zh-CN"/>
        </w:rPr>
      </w:pPr>
      <w:r>
        <w:rPr>
          <w:lang w:eastAsia="zh-CN"/>
        </w:rPr>
        <w:t>能够从单数据集、跨工况、跨数据集和小样本迁移四个角度分析结果，而不是只看单一准确率。</w:t>
      </w:r>
    </w:p>
    <w:p w14:paraId="3AEE56B2" w14:textId="77777777" w:rsidR="005D21B3" w:rsidRDefault="00000000">
      <w:pPr>
        <w:pStyle w:val="1"/>
        <w:rPr>
          <w:lang w:eastAsia="zh-CN"/>
        </w:rPr>
      </w:pPr>
      <w:r>
        <w:rPr>
          <w:lang w:eastAsia="zh-CN"/>
        </w:rPr>
        <w:t xml:space="preserve">3. </w:t>
      </w:r>
      <w:r>
        <w:rPr>
          <w:lang w:eastAsia="zh-CN"/>
        </w:rPr>
        <w:t>实验知识点</w:t>
      </w:r>
    </w:p>
    <w:p w14:paraId="6480B9F0" w14:textId="77777777" w:rsidR="005D21B3" w:rsidRDefault="00000000">
      <w:pPr>
        <w:spacing w:after="80"/>
        <w:rPr>
          <w:lang w:eastAsia="zh-CN"/>
        </w:rPr>
      </w:pPr>
      <w:r>
        <w:rPr>
          <w:rFonts w:eastAsia="黑体"/>
          <w:b/>
          <w:lang w:eastAsia="zh-CN"/>
        </w:rPr>
        <w:t xml:space="preserve">2048 </w:t>
      </w:r>
      <w:r>
        <w:rPr>
          <w:rFonts w:eastAsia="黑体"/>
          <w:b/>
          <w:lang w:eastAsia="zh-CN"/>
        </w:rPr>
        <w:t>点窗口切片：</w:t>
      </w:r>
      <w:r>
        <w:rPr>
          <w:lang w:eastAsia="zh-CN"/>
        </w:rPr>
        <w:t>两个案例都先把原始振动序列整理为统一长度样本。</w:t>
      </w:r>
    </w:p>
    <w:p w14:paraId="396A0CC5" w14:textId="77777777" w:rsidR="005D21B3" w:rsidRDefault="00000000">
      <w:pPr>
        <w:spacing w:after="80"/>
        <w:rPr>
          <w:lang w:eastAsia="zh-CN"/>
        </w:rPr>
      </w:pPr>
      <w:r>
        <w:rPr>
          <w:rFonts w:eastAsia="黑体"/>
          <w:b/>
          <w:lang w:eastAsia="zh-CN"/>
        </w:rPr>
        <w:t xml:space="preserve">24 </w:t>
      </w:r>
      <w:r>
        <w:rPr>
          <w:rFonts w:eastAsia="黑体"/>
          <w:b/>
          <w:lang w:eastAsia="zh-CN"/>
        </w:rPr>
        <w:t>个时域与频域统计特征：</w:t>
      </w:r>
      <w:r>
        <w:rPr>
          <w:lang w:eastAsia="zh-CN"/>
        </w:rPr>
        <w:t>案例一用它说明大模型如何接入前文特征工程结果。</w:t>
      </w:r>
    </w:p>
    <w:p w14:paraId="3478C094" w14:textId="77777777" w:rsidR="005D21B3" w:rsidRDefault="00000000">
      <w:pPr>
        <w:spacing w:after="80"/>
        <w:rPr>
          <w:lang w:eastAsia="zh-CN"/>
        </w:rPr>
      </w:pPr>
      <w:r>
        <w:rPr>
          <w:rFonts w:eastAsia="黑体"/>
          <w:b/>
          <w:lang w:eastAsia="zh-CN"/>
        </w:rPr>
        <w:t>监督微调与</w:t>
      </w:r>
      <w:r>
        <w:rPr>
          <w:rFonts w:eastAsia="黑体"/>
          <w:b/>
          <w:lang w:eastAsia="zh-CN"/>
        </w:rPr>
        <w:t xml:space="preserve"> LoRA/QLoRA</w:t>
      </w:r>
      <w:r>
        <w:rPr>
          <w:rFonts w:eastAsia="黑体"/>
          <w:b/>
          <w:lang w:eastAsia="zh-CN"/>
        </w:rPr>
        <w:t>：</w:t>
      </w:r>
      <w:r>
        <w:rPr>
          <w:lang w:eastAsia="zh-CN"/>
        </w:rPr>
        <w:t>案例一用它区分训练目标和参数更新方式。</w:t>
      </w:r>
    </w:p>
    <w:p w14:paraId="1780AD88" w14:textId="77777777" w:rsidR="005D21B3" w:rsidRDefault="00000000">
      <w:pPr>
        <w:spacing w:after="80"/>
        <w:rPr>
          <w:lang w:eastAsia="zh-CN"/>
        </w:rPr>
      </w:pPr>
      <w:r>
        <w:rPr>
          <w:rFonts w:eastAsia="黑体"/>
          <w:b/>
          <w:lang w:eastAsia="zh-CN"/>
        </w:rPr>
        <w:t xml:space="preserve">patching </w:t>
      </w:r>
      <w:r>
        <w:rPr>
          <w:rFonts w:eastAsia="黑体"/>
          <w:b/>
          <w:lang w:eastAsia="zh-CN"/>
        </w:rPr>
        <w:t>与一维卷积嵌入：</w:t>
      </w:r>
      <w:r>
        <w:rPr>
          <w:lang w:eastAsia="zh-CN"/>
        </w:rPr>
        <w:t>案例二用它把连续振动序列改写为类</w:t>
      </w:r>
      <w:r>
        <w:rPr>
          <w:lang w:eastAsia="zh-CN"/>
        </w:rPr>
        <w:t xml:space="preserve"> token </w:t>
      </w:r>
      <w:r>
        <w:rPr>
          <w:lang w:eastAsia="zh-CN"/>
        </w:rPr>
        <w:t>序列。</w:t>
      </w:r>
    </w:p>
    <w:p w14:paraId="3E8E03FC" w14:textId="77777777" w:rsidR="005D21B3" w:rsidRDefault="00000000">
      <w:pPr>
        <w:spacing w:after="80"/>
        <w:rPr>
          <w:lang w:eastAsia="zh-CN"/>
        </w:rPr>
      </w:pPr>
      <w:r>
        <w:rPr>
          <w:rFonts w:eastAsia="黑体"/>
          <w:b/>
          <w:lang w:eastAsia="zh-CN"/>
        </w:rPr>
        <w:t>位置编码与</w:t>
      </w:r>
      <w:r>
        <w:rPr>
          <w:rFonts w:eastAsia="黑体"/>
          <w:b/>
          <w:lang w:eastAsia="zh-CN"/>
        </w:rPr>
        <w:t xml:space="preserve"> GPT-2 </w:t>
      </w:r>
      <w:r>
        <w:rPr>
          <w:rFonts w:eastAsia="黑体"/>
          <w:b/>
          <w:lang w:eastAsia="zh-CN"/>
        </w:rPr>
        <w:t>主干适配：</w:t>
      </w:r>
      <w:r>
        <w:rPr>
          <w:lang w:eastAsia="zh-CN"/>
        </w:rPr>
        <w:t>案例二用它说明时序顺序信息如何进入</w:t>
      </w:r>
      <w:r>
        <w:rPr>
          <w:lang w:eastAsia="zh-CN"/>
        </w:rPr>
        <w:t xml:space="preserve"> Transformer </w:t>
      </w:r>
      <w:r>
        <w:rPr>
          <w:lang w:eastAsia="zh-CN"/>
        </w:rPr>
        <w:t>主干。</w:t>
      </w:r>
    </w:p>
    <w:p w14:paraId="693BC29F" w14:textId="77777777" w:rsidR="005D21B3" w:rsidRDefault="00000000">
      <w:pPr>
        <w:spacing w:after="80"/>
        <w:rPr>
          <w:lang w:eastAsia="zh-CN"/>
        </w:rPr>
      </w:pPr>
      <w:r>
        <w:rPr>
          <w:rFonts w:eastAsia="黑体"/>
          <w:b/>
          <w:lang w:eastAsia="zh-CN"/>
        </w:rPr>
        <w:t>跨工况与跨数据集评价：</w:t>
      </w:r>
      <w:r>
        <w:rPr>
          <w:lang w:eastAsia="zh-CN"/>
        </w:rPr>
        <w:t>两个案例都用于说明大模型并不能消除分布差异，只能在合适接口下缓解。</w:t>
      </w:r>
    </w:p>
    <w:p w14:paraId="34A63311" w14:textId="77777777" w:rsidR="005D21B3" w:rsidRDefault="00000000">
      <w:pPr>
        <w:pStyle w:val="1"/>
        <w:rPr>
          <w:lang w:eastAsia="zh-CN"/>
        </w:rPr>
      </w:pPr>
      <w:r>
        <w:rPr>
          <w:lang w:eastAsia="zh-CN"/>
        </w:rPr>
        <w:t xml:space="preserve">4. </w:t>
      </w:r>
      <w:r>
        <w:rPr>
          <w:lang w:eastAsia="zh-CN"/>
        </w:rPr>
        <w:t>实验环境与数据准备</w:t>
      </w:r>
    </w:p>
    <w:p w14:paraId="6701DCD4" w14:textId="77777777" w:rsidR="005D21B3" w:rsidRDefault="00000000">
      <w:pPr>
        <w:rPr>
          <w:lang w:eastAsia="zh-CN"/>
        </w:rPr>
      </w:pPr>
      <w:r>
        <w:rPr>
          <w:lang w:eastAsia="zh-CN"/>
        </w:rPr>
        <w:t>建议使用</w:t>
      </w:r>
      <w:r>
        <w:rPr>
          <w:lang w:eastAsia="zh-CN"/>
        </w:rPr>
        <w:t xml:space="preserve"> Python 3.10 </w:t>
      </w:r>
      <w:r>
        <w:rPr>
          <w:lang w:eastAsia="zh-CN"/>
        </w:rPr>
        <w:t>或以上版本。若只做课堂讲解，可重点阅读两个</w:t>
      </w:r>
      <w:r>
        <w:rPr>
          <w:lang w:eastAsia="zh-CN"/>
        </w:rPr>
        <w:t xml:space="preserve"> Markdown </w:t>
      </w:r>
      <w:r>
        <w:rPr>
          <w:lang w:eastAsia="zh-CN"/>
        </w:rPr>
        <w:t>案例说明；若希望进一步复现参考流程，需要准备</w:t>
      </w:r>
      <w:r>
        <w:rPr>
          <w:lang w:eastAsia="zh-CN"/>
        </w:rPr>
        <w:t xml:space="preserve"> numpy</w:t>
      </w:r>
      <w:r>
        <w:rPr>
          <w:lang w:eastAsia="zh-CN"/>
        </w:rPr>
        <w:t>、</w:t>
      </w:r>
      <w:r>
        <w:rPr>
          <w:lang w:eastAsia="zh-CN"/>
        </w:rPr>
        <w:t>pandas</w:t>
      </w:r>
      <w:r>
        <w:rPr>
          <w:lang w:eastAsia="zh-CN"/>
        </w:rPr>
        <w:t>、</w:t>
      </w:r>
      <w:r>
        <w:rPr>
          <w:lang w:eastAsia="zh-CN"/>
        </w:rPr>
        <w:t>scipy</w:t>
      </w:r>
      <w:r>
        <w:rPr>
          <w:lang w:eastAsia="zh-CN"/>
        </w:rPr>
        <w:t>、</w:t>
      </w:r>
      <w:r>
        <w:rPr>
          <w:lang w:eastAsia="zh-CN"/>
        </w:rPr>
        <w:t>torch</w:t>
      </w:r>
      <w:r>
        <w:rPr>
          <w:lang w:eastAsia="zh-CN"/>
        </w:rPr>
        <w:t>、</w:t>
      </w:r>
      <w:r>
        <w:rPr>
          <w:lang w:eastAsia="zh-CN"/>
        </w:rPr>
        <w:t>transformers</w:t>
      </w:r>
      <w:r>
        <w:rPr>
          <w:lang w:eastAsia="zh-CN"/>
        </w:rPr>
        <w:t>、</w:t>
      </w:r>
      <w:r>
        <w:rPr>
          <w:lang w:eastAsia="zh-CN"/>
        </w:rPr>
        <w:t xml:space="preserve">peft </w:t>
      </w:r>
      <w:r>
        <w:rPr>
          <w:lang w:eastAsia="zh-CN"/>
        </w:rPr>
        <w:t>和</w:t>
      </w:r>
      <w:r>
        <w:rPr>
          <w:lang w:eastAsia="zh-CN"/>
        </w:rPr>
        <w:t xml:space="preserve"> datasets </w:t>
      </w:r>
      <w:r>
        <w:rPr>
          <w:lang w:eastAsia="zh-CN"/>
        </w:rPr>
        <w:t>等依赖，并使用具备较充足显存的</w:t>
      </w:r>
      <w:r>
        <w:rPr>
          <w:lang w:eastAsia="zh-CN"/>
        </w:rPr>
        <w:t xml:space="preserve"> GPU </w:t>
      </w:r>
      <w:r>
        <w:rPr>
          <w:lang w:eastAsia="zh-CN"/>
        </w:rPr>
        <w:t>环境。</w:t>
      </w:r>
    </w:p>
    <w:p w14:paraId="4D81A00F" w14:textId="77777777" w:rsidR="005D21B3" w:rsidRDefault="00000000">
      <w:pPr>
        <w:shd w:val="clear" w:color="auto" w:fill="F2F4F7"/>
        <w:spacing w:before="60" w:after="160"/>
        <w:ind w:left="255" w:right="113"/>
      </w:pPr>
      <w:r>
        <w:rPr>
          <w:rFonts w:ascii="Consolas" w:eastAsia="Consolas" w:hAnsi="Consolas"/>
          <w:sz w:val="19"/>
        </w:rPr>
        <w:t>python -m pip install numpy pandas scipy torch transformers peft datasets</w:t>
      </w:r>
    </w:p>
    <w:p w14:paraId="00E640A3" w14:textId="77777777" w:rsidR="005D21B3" w:rsidRDefault="00000000">
      <w:pPr>
        <w:rPr>
          <w:lang w:eastAsia="zh-CN"/>
        </w:rPr>
      </w:pPr>
      <w:r>
        <w:rPr>
          <w:lang w:eastAsia="zh-CN"/>
        </w:rPr>
        <w:t>数据准备以</w:t>
      </w:r>
      <w:r>
        <w:rPr>
          <w:lang w:eastAsia="zh-CN"/>
        </w:rPr>
        <w:t xml:space="preserve"> CWRU</w:t>
      </w:r>
      <w:r>
        <w:rPr>
          <w:lang w:eastAsia="zh-CN"/>
        </w:rPr>
        <w:t>、</w:t>
      </w:r>
      <w:r>
        <w:rPr>
          <w:lang w:eastAsia="zh-CN"/>
        </w:rPr>
        <w:t>MFPT</w:t>
      </w:r>
      <w:r>
        <w:rPr>
          <w:lang w:eastAsia="zh-CN"/>
        </w:rPr>
        <w:t>、</w:t>
      </w:r>
      <w:r>
        <w:rPr>
          <w:lang w:eastAsia="zh-CN"/>
        </w:rPr>
        <w:t xml:space="preserve">JNU </w:t>
      </w:r>
      <w:r>
        <w:rPr>
          <w:lang w:eastAsia="zh-CN"/>
        </w:rPr>
        <w:t>和</w:t>
      </w:r>
      <w:r>
        <w:rPr>
          <w:lang w:eastAsia="zh-CN"/>
        </w:rPr>
        <w:t xml:space="preserve"> PU </w:t>
      </w:r>
      <w:r>
        <w:rPr>
          <w:lang w:eastAsia="zh-CN"/>
        </w:rPr>
        <w:t>四个轴承数据集为主。两个案例都先把原始振动序列切成</w:t>
      </w:r>
      <w:r>
        <w:rPr>
          <w:lang w:eastAsia="zh-CN"/>
        </w:rPr>
        <w:t xml:space="preserve"> 2048 </w:t>
      </w:r>
      <w:r>
        <w:rPr>
          <w:lang w:eastAsia="zh-CN"/>
        </w:rPr>
        <w:t>点窗口样本，但后续输入形式不同：案例一提取统计特征并改写为文本，案例二保留原始窗口并进行</w:t>
      </w:r>
      <w:r>
        <w:rPr>
          <w:lang w:eastAsia="zh-CN"/>
        </w:rPr>
        <w:t xml:space="preserve"> patching</w:t>
      </w:r>
      <w:r>
        <w:rPr>
          <w:lang w:eastAsia="zh-CN"/>
        </w:rPr>
        <w:t>。</w:t>
      </w:r>
    </w:p>
    <w:p w14:paraId="1C4A50E2" w14:textId="77777777" w:rsidR="005D21B3" w:rsidRDefault="00000000">
      <w:pPr>
        <w:pStyle w:val="a0"/>
        <w:rPr>
          <w:lang w:eastAsia="zh-CN"/>
        </w:rPr>
      </w:pPr>
      <w:r>
        <w:rPr>
          <w:lang w:eastAsia="zh-CN"/>
        </w:rPr>
        <w:t>CWRU</w:t>
      </w:r>
      <w:r>
        <w:rPr>
          <w:lang w:eastAsia="zh-CN"/>
        </w:rPr>
        <w:t>：</w:t>
      </w:r>
      <w:r>
        <w:rPr>
          <w:lang w:eastAsia="zh-CN"/>
        </w:rPr>
        <w:t xml:space="preserve">12 kHz </w:t>
      </w:r>
      <w:r>
        <w:rPr>
          <w:lang w:eastAsia="zh-CN"/>
        </w:rPr>
        <w:t>驱动端振动数据，多工况、多故障尺度，用于单数据集、跨工况和迁移评价。</w:t>
      </w:r>
    </w:p>
    <w:p w14:paraId="6A0DB342" w14:textId="77777777" w:rsidR="005D21B3" w:rsidRDefault="00000000">
      <w:pPr>
        <w:pStyle w:val="a0"/>
        <w:rPr>
          <w:lang w:eastAsia="zh-CN"/>
        </w:rPr>
      </w:pPr>
      <w:r>
        <w:rPr>
          <w:lang w:eastAsia="zh-CN"/>
        </w:rPr>
        <w:lastRenderedPageBreak/>
        <w:t>MFPT</w:t>
      </w:r>
      <w:r>
        <w:rPr>
          <w:lang w:eastAsia="zh-CN"/>
        </w:rPr>
        <w:t>：包含正常、内圈和外圈故障，采样频率存在差异，用于检验不同数据结构下的适应能力。</w:t>
      </w:r>
    </w:p>
    <w:p w14:paraId="2AA2E96B" w14:textId="77777777" w:rsidR="005D21B3" w:rsidRDefault="00000000">
      <w:pPr>
        <w:pStyle w:val="a0"/>
      </w:pPr>
      <w:r>
        <w:t>JNU</w:t>
      </w:r>
      <w:r>
        <w:t>：</w:t>
      </w:r>
      <w:r>
        <w:t>50 kHz</w:t>
      </w:r>
      <w:r>
        <w:t>，覆盖</w:t>
      </w:r>
      <w:r>
        <w:t xml:space="preserve"> 600 rpm</w:t>
      </w:r>
      <w:r>
        <w:t>、</w:t>
      </w:r>
      <w:r>
        <w:t>800 rpm</w:t>
      </w:r>
      <w:r>
        <w:t>、</w:t>
      </w:r>
      <w:r>
        <w:t>1000 rpm</w:t>
      </w:r>
      <w:r>
        <w:t>，常用于跨转速条件下的结果分析。</w:t>
      </w:r>
    </w:p>
    <w:p w14:paraId="46E18862" w14:textId="77777777" w:rsidR="005D21B3" w:rsidRDefault="00000000">
      <w:pPr>
        <w:pStyle w:val="a0"/>
        <w:rPr>
          <w:lang w:eastAsia="zh-CN"/>
        </w:rPr>
      </w:pPr>
      <w:r>
        <w:rPr>
          <w:lang w:eastAsia="zh-CN"/>
        </w:rPr>
        <w:t>PU</w:t>
      </w:r>
      <w:r>
        <w:rPr>
          <w:lang w:eastAsia="zh-CN"/>
        </w:rPr>
        <w:t>：</w:t>
      </w:r>
      <w:r>
        <w:rPr>
          <w:lang w:eastAsia="zh-CN"/>
        </w:rPr>
        <w:t>64 kHz</w:t>
      </w:r>
      <w:r>
        <w:rPr>
          <w:lang w:eastAsia="zh-CN"/>
        </w:rPr>
        <w:t>，包含正常轴承与人工损伤轴承，用于观察复杂工况下的迁移收益和波动。</w:t>
      </w:r>
    </w:p>
    <w:p w14:paraId="553A01A0" w14:textId="77777777" w:rsidR="005D21B3" w:rsidRDefault="00000000">
      <w:pPr>
        <w:pStyle w:val="1"/>
        <w:rPr>
          <w:lang w:eastAsia="zh-CN"/>
        </w:rPr>
      </w:pPr>
      <w:r>
        <w:rPr>
          <w:lang w:eastAsia="zh-CN"/>
        </w:rPr>
        <w:t xml:space="preserve">5. </w:t>
      </w:r>
      <w:r>
        <w:rPr>
          <w:lang w:eastAsia="zh-CN"/>
        </w:rPr>
        <w:t>实验原理</w:t>
      </w:r>
    </w:p>
    <w:p w14:paraId="2D5D31CA" w14:textId="77777777" w:rsidR="005D21B3" w:rsidRDefault="00000000">
      <w:pPr>
        <w:pStyle w:val="21"/>
        <w:rPr>
          <w:lang w:eastAsia="zh-CN"/>
        </w:rPr>
      </w:pPr>
      <w:r>
        <w:rPr>
          <w:lang w:eastAsia="zh-CN"/>
        </w:rPr>
        <w:t xml:space="preserve">5.1 </w:t>
      </w:r>
      <w:r>
        <w:rPr>
          <w:lang w:eastAsia="zh-CN"/>
        </w:rPr>
        <w:t>两条路线的共同任务</w:t>
      </w:r>
    </w:p>
    <w:p w14:paraId="6B4BE3FA" w14:textId="77777777" w:rsidR="005D21B3" w:rsidRDefault="00000000">
      <w:pPr>
        <w:rPr>
          <w:lang w:eastAsia="zh-CN"/>
        </w:rPr>
      </w:pPr>
      <w:r>
        <w:rPr>
          <w:lang w:eastAsia="zh-CN"/>
        </w:rPr>
        <w:t>两个案例最终都服务于监督故障分类。输入可能是文本化特征，也可能是</w:t>
      </w:r>
      <w:r>
        <w:rPr>
          <w:lang w:eastAsia="zh-CN"/>
        </w:rPr>
        <w:t xml:space="preserve"> patch </w:t>
      </w:r>
      <w:r>
        <w:rPr>
          <w:lang w:eastAsia="zh-CN"/>
        </w:rPr>
        <w:t>序列；输出仍是故障类别标签。理解这一点很重要，因为使用大模型并不意味着任务自动变成开放式问答。</w:t>
      </w:r>
    </w:p>
    <w:p w14:paraId="5975E69A" w14:textId="77777777" w:rsidR="005D21B3" w:rsidRDefault="00000000">
      <w:pPr>
        <w:pStyle w:val="21"/>
      </w:pPr>
      <w:r>
        <w:t xml:space="preserve">5.2 </w:t>
      </w:r>
      <w:r>
        <w:t>案例一：特征文本化</w:t>
      </w:r>
      <w:r>
        <w:t xml:space="preserve"> + ChatGLM2-6B-chat</w:t>
      </w:r>
    </w:p>
    <w:p w14:paraId="1B1C9AA8" w14:textId="77777777" w:rsidR="005D21B3" w:rsidRDefault="00000000">
      <w:pPr>
        <w:rPr>
          <w:lang w:eastAsia="zh-CN"/>
        </w:rPr>
      </w:pPr>
      <w:r>
        <w:rPr>
          <w:lang w:eastAsia="zh-CN"/>
        </w:rPr>
        <w:t>案例一把人工特征与监督分类改写为</w:t>
      </w:r>
      <w:r>
        <w:rPr>
          <w:lang w:eastAsia="zh-CN"/>
        </w:rPr>
        <w:t>“</w:t>
      </w:r>
      <w:r>
        <w:rPr>
          <w:lang w:eastAsia="zh-CN"/>
        </w:rPr>
        <w:t>带字段名的文本输入</w:t>
      </w:r>
      <w:r>
        <w:rPr>
          <w:lang w:eastAsia="zh-CN"/>
        </w:rPr>
        <w:t xml:space="preserve"> + </w:t>
      </w:r>
      <w:r>
        <w:rPr>
          <w:lang w:eastAsia="zh-CN"/>
        </w:rPr>
        <w:t>大语言模型监督微调</w:t>
      </w:r>
      <w:r>
        <w:rPr>
          <w:lang w:eastAsia="zh-CN"/>
        </w:rPr>
        <w:t>”</w:t>
      </w:r>
      <w:r>
        <w:rPr>
          <w:lang w:eastAsia="zh-CN"/>
        </w:rPr>
        <w:t>。每个</w:t>
      </w:r>
      <w:r>
        <w:rPr>
          <w:lang w:eastAsia="zh-CN"/>
        </w:rPr>
        <w:t xml:space="preserve"> 2048 </w:t>
      </w:r>
      <w:r>
        <w:rPr>
          <w:lang w:eastAsia="zh-CN"/>
        </w:rPr>
        <w:t>点窗口先提取</w:t>
      </w:r>
      <w:r>
        <w:rPr>
          <w:lang w:eastAsia="zh-CN"/>
        </w:rPr>
        <w:t xml:space="preserve"> 24 </w:t>
      </w:r>
      <w:r>
        <w:rPr>
          <w:lang w:eastAsia="zh-CN"/>
        </w:rPr>
        <w:t>个统计特征，其中时域特征和频域特征各</w:t>
      </w:r>
      <w:r>
        <w:rPr>
          <w:lang w:eastAsia="zh-CN"/>
        </w:rPr>
        <w:t xml:space="preserve"> 12 </w:t>
      </w:r>
      <w:r>
        <w:rPr>
          <w:lang w:eastAsia="zh-CN"/>
        </w:rPr>
        <w:t>个。特征值不先统一归一化为无量纲文本，是因为统计量级本身可能包含诊断信息。</w:t>
      </w:r>
    </w:p>
    <w:p w14:paraId="3365EA69" w14:textId="77777777" w:rsidR="005D21B3" w:rsidRDefault="00000000">
      <w:pPr>
        <w:shd w:val="clear" w:color="auto" w:fill="F2F4F7"/>
        <w:spacing w:before="60" w:after="160"/>
        <w:ind w:left="255" w:right="113"/>
        <w:rPr>
          <w:lang w:eastAsia="zh-CN"/>
        </w:rPr>
      </w:pPr>
      <w:r>
        <w:rPr>
          <w:rFonts w:ascii="Consolas" w:eastAsia="Consolas" w:hAnsi="Consolas"/>
          <w:sz w:val="19"/>
          <w:lang w:eastAsia="zh-CN"/>
        </w:rPr>
        <w:t>指令：根据给出的轴承振动统计特征判断故障类型。</w:t>
      </w:r>
      <w:r>
        <w:rPr>
          <w:lang w:eastAsia="zh-CN"/>
        </w:rPr>
        <w:br/>
      </w:r>
      <w:r>
        <w:rPr>
          <w:rFonts w:ascii="Consolas" w:eastAsia="Consolas" w:hAnsi="Consolas"/>
          <w:sz w:val="19"/>
          <w:lang w:eastAsia="zh-CN"/>
        </w:rPr>
        <w:t>输入：均值=0.012，标准差=1.834，峰值=6.127，偏度=0.341，峭度=5.941，频率均值=0.286，频率方差=0.118，重心频率=0.421，……</w:t>
      </w:r>
      <w:r>
        <w:rPr>
          <w:lang w:eastAsia="zh-CN"/>
        </w:rPr>
        <w:br/>
      </w:r>
      <w:r>
        <w:rPr>
          <w:rFonts w:ascii="Consolas" w:eastAsia="Consolas" w:hAnsi="Consolas"/>
          <w:sz w:val="19"/>
          <w:lang w:eastAsia="zh-CN"/>
        </w:rPr>
        <w:t>输出：外圈故障</w:t>
      </w:r>
    </w:p>
    <w:p w14:paraId="67DE8DA4" w14:textId="77777777" w:rsidR="005D21B3" w:rsidRDefault="00000000">
      <w:pPr>
        <w:rPr>
          <w:lang w:eastAsia="zh-CN"/>
        </w:rPr>
      </w:pPr>
      <w:r>
        <w:rPr>
          <w:lang w:eastAsia="zh-CN"/>
        </w:rPr>
        <w:t xml:space="preserve">LoRA </w:t>
      </w:r>
      <w:r>
        <w:rPr>
          <w:lang w:eastAsia="zh-CN"/>
        </w:rPr>
        <w:t>和</w:t>
      </w:r>
      <w:r>
        <w:rPr>
          <w:lang w:eastAsia="zh-CN"/>
        </w:rPr>
        <w:t xml:space="preserve"> QLoRA </w:t>
      </w:r>
      <w:r>
        <w:rPr>
          <w:lang w:eastAsia="zh-CN"/>
        </w:rPr>
        <w:t>在这里不是新的诊断目标，而是参数高效微调方式。模型学习的是给定字段和值后输出稳定故障标签的映射关系。</w:t>
      </w:r>
    </w:p>
    <w:p w14:paraId="5FECC210" w14:textId="77777777" w:rsidR="005D21B3" w:rsidRDefault="00000000">
      <w:pPr>
        <w:pStyle w:val="21"/>
        <w:rPr>
          <w:lang w:eastAsia="zh-CN"/>
        </w:rPr>
      </w:pPr>
      <w:r>
        <w:rPr>
          <w:lang w:eastAsia="zh-CN"/>
        </w:rPr>
        <w:t xml:space="preserve">5.3 </w:t>
      </w:r>
      <w:r>
        <w:rPr>
          <w:lang w:eastAsia="zh-CN"/>
        </w:rPr>
        <w:t>案例二：振动序列补丁化</w:t>
      </w:r>
      <w:r>
        <w:rPr>
          <w:lang w:eastAsia="zh-CN"/>
        </w:rPr>
        <w:t xml:space="preserve"> + GPT-2</w:t>
      </w:r>
    </w:p>
    <w:p w14:paraId="18DDD8D3" w14:textId="77777777" w:rsidR="005D21B3" w:rsidRDefault="00000000">
      <w:r>
        <w:t>案例二尽量保留原始振动序列中的局部结构。由于</w:t>
      </w:r>
      <w:r>
        <w:t xml:space="preserve"> GPT-2 </w:t>
      </w:r>
      <w:r>
        <w:t>原始输入面向文本标记，</w:t>
      </w:r>
      <w:r>
        <w:t xml:space="preserve">2048 </w:t>
      </w:r>
      <w:r>
        <w:t>个连续采样点不能直接等同于语言</w:t>
      </w:r>
      <w:r>
        <w:t xml:space="preserve"> token</w:t>
      </w:r>
      <w:r>
        <w:t>，因此需要先做</w:t>
      </w:r>
      <w:r>
        <w:t xml:space="preserve"> patching</w:t>
      </w:r>
      <w:r>
        <w:t>，再通过一维卷积嵌入映射到模型输入维度。</w:t>
      </w:r>
    </w:p>
    <w:p w14:paraId="11D3D78B" w14:textId="77777777" w:rsidR="005D21B3" w:rsidRDefault="00000000">
      <w:r>
        <w:t>若</w:t>
      </w:r>
      <w:r>
        <w:t xml:space="preserve"> patch size = 128</w:t>
      </w:r>
      <w:r>
        <w:t>、</w:t>
      </w:r>
      <w:r>
        <w:t>stride = 8</w:t>
      </w:r>
      <w:r>
        <w:t>，一个</w:t>
      </w:r>
      <w:r>
        <w:t xml:space="preserve"> 2048 </w:t>
      </w:r>
      <w:r>
        <w:t>点窗口会被切成</w:t>
      </w:r>
      <w:r>
        <w:t xml:space="preserve"> 241 </w:t>
      </w:r>
      <w:r>
        <w:t>个</w:t>
      </w:r>
      <w:r>
        <w:t xml:space="preserve"> patch</w:t>
      </w:r>
      <w:r>
        <w:t>。随后叠加正弦位置编码，并送入</w:t>
      </w:r>
      <w:r>
        <w:t xml:space="preserve"> GPT-2 </w:t>
      </w:r>
      <w:r>
        <w:t>主干。参考路线冻结多头自注意力层和前馈网络层，只训练</w:t>
      </w:r>
      <w:r>
        <w:t xml:space="preserve"> LayerNorm </w:t>
      </w:r>
      <w:r>
        <w:t>与位置嵌入相关参数，以降低训练成本并保留预训练序列建模先验。</w:t>
      </w:r>
    </w:p>
    <w:p w14:paraId="0700AE84" w14:textId="77777777" w:rsidR="005D21B3" w:rsidRDefault="00000000">
      <w:pPr>
        <w:pStyle w:val="21"/>
      </w:pPr>
      <w:r>
        <w:t xml:space="preserve">5.4 </w:t>
      </w:r>
      <w:r>
        <w:t>两条路线的比较</w:t>
      </w:r>
    </w:p>
    <w:p w14:paraId="4033A837" w14:textId="77777777" w:rsidR="005D21B3" w:rsidRDefault="00000000">
      <w:pPr>
        <w:spacing w:after="80"/>
      </w:pPr>
      <w:r>
        <w:rPr>
          <w:rFonts w:eastAsia="黑体"/>
          <w:b/>
        </w:rPr>
        <w:t>输入形式：</w:t>
      </w:r>
      <w:r>
        <w:t>案例一使用</w:t>
      </w:r>
      <w:r>
        <w:t xml:space="preserve"> 24 </w:t>
      </w:r>
      <w:r>
        <w:t>个统计特征的文本化描述；案例二使用</w:t>
      </w:r>
      <w:r>
        <w:t xml:space="preserve"> 2048 </w:t>
      </w:r>
      <w:r>
        <w:t>点原始窗口的</w:t>
      </w:r>
      <w:r>
        <w:t xml:space="preserve"> patch </w:t>
      </w:r>
      <w:r>
        <w:t>序列。</w:t>
      </w:r>
    </w:p>
    <w:p w14:paraId="18C90A8B" w14:textId="77777777" w:rsidR="005D21B3" w:rsidRDefault="00000000">
      <w:pPr>
        <w:spacing w:after="80"/>
      </w:pPr>
      <w:r>
        <w:rPr>
          <w:rFonts w:eastAsia="黑体"/>
          <w:b/>
        </w:rPr>
        <w:t>接入方式：</w:t>
      </w:r>
      <w:r>
        <w:t>案例一保持语言模型文本接口；案例二通过</w:t>
      </w:r>
      <w:r>
        <w:t xml:space="preserve"> patching </w:t>
      </w:r>
      <w:r>
        <w:t>和嵌入层适配非文本输入。</w:t>
      </w:r>
    </w:p>
    <w:p w14:paraId="73A631B0" w14:textId="77777777" w:rsidR="005D21B3" w:rsidRDefault="00000000">
      <w:pPr>
        <w:spacing w:after="80"/>
      </w:pPr>
      <w:r>
        <w:rPr>
          <w:rFonts w:eastAsia="黑体"/>
          <w:b/>
        </w:rPr>
        <w:t>解释性：</w:t>
      </w:r>
      <w:r>
        <w:t>案例一字段名与物理含义更清楚；案例二需要混淆矩阵、</w:t>
      </w:r>
      <w:r>
        <w:t xml:space="preserve">t-SNE </w:t>
      </w:r>
      <w:r>
        <w:t>或其他可视化辅助解释。</w:t>
      </w:r>
    </w:p>
    <w:p w14:paraId="49CD19CF" w14:textId="77777777" w:rsidR="005D21B3" w:rsidRDefault="00000000">
      <w:pPr>
        <w:spacing w:after="80"/>
      </w:pPr>
      <w:r>
        <w:rPr>
          <w:rFonts w:eastAsia="黑体"/>
          <w:b/>
        </w:rPr>
        <w:t>工程复杂度：</w:t>
      </w:r>
      <w:r>
        <w:t>案例一相对较低；案例二相对较高。</w:t>
      </w:r>
    </w:p>
    <w:p w14:paraId="5C63F131" w14:textId="77777777" w:rsidR="005D21B3" w:rsidRDefault="00000000">
      <w:pPr>
        <w:spacing w:after="80"/>
      </w:pPr>
      <w:r>
        <w:rPr>
          <w:rFonts w:eastAsia="黑体"/>
          <w:b/>
        </w:rPr>
        <w:lastRenderedPageBreak/>
        <w:t>适用场景：</w:t>
      </w:r>
      <w:r>
        <w:t>案例一适合已有成熟特征体系和强调可解释性的场景；案例二适合希望保留原始时序细节且具备较强计算资源的场景。</w:t>
      </w:r>
    </w:p>
    <w:p w14:paraId="0128BA39" w14:textId="77777777" w:rsidR="005D21B3" w:rsidRDefault="00000000">
      <w:pPr>
        <w:pStyle w:val="1"/>
      </w:pPr>
      <w:r>
        <w:t xml:space="preserve">6. </w:t>
      </w:r>
      <w:r>
        <w:t>实验内容与步骤</w:t>
      </w:r>
    </w:p>
    <w:p w14:paraId="127CD2E2" w14:textId="77777777" w:rsidR="005D21B3" w:rsidRDefault="00000000">
      <w:pPr>
        <w:pStyle w:val="21"/>
      </w:pPr>
      <w:r>
        <w:t xml:space="preserve">6.1 </w:t>
      </w:r>
      <w:r>
        <w:t>建议阅读与实施顺序</w:t>
      </w:r>
    </w:p>
    <w:p w14:paraId="59B2E817" w14:textId="77777777" w:rsidR="005D21B3" w:rsidRDefault="00000000">
      <w:r>
        <w:t>先阅读</w:t>
      </w:r>
      <w:r>
        <w:t xml:space="preserve"> exp01_feature_textualized_chatglm.md</w:t>
      </w:r>
      <w:r>
        <w:t>，理解大模型如何接入前面章节的特征工程结果；再阅读</w:t>
      </w:r>
      <w:r>
        <w:t xml:space="preserve"> exp02_patched_gpt2.md</w:t>
      </w:r>
      <w:r>
        <w:t>，理解大模型如何通过输入适配承担时序分类任务。</w:t>
      </w:r>
    </w:p>
    <w:p w14:paraId="3F7EA458" w14:textId="77777777" w:rsidR="005D21B3" w:rsidRDefault="00000000">
      <w:pPr>
        <w:pStyle w:val="21"/>
      </w:pPr>
      <w:r>
        <w:t xml:space="preserve">6.2 </w:t>
      </w:r>
      <w:r>
        <w:t>案例一实验步骤</w:t>
      </w:r>
    </w:p>
    <w:p w14:paraId="78738800" w14:textId="77777777" w:rsidR="005D21B3" w:rsidRDefault="00000000">
      <w:pPr>
        <w:pStyle w:val="a"/>
      </w:pPr>
      <w:r>
        <w:t>把</w:t>
      </w:r>
      <w:r>
        <w:t xml:space="preserve"> CWRU</w:t>
      </w:r>
      <w:r>
        <w:t>、</w:t>
      </w:r>
      <w:r>
        <w:t>MFPT</w:t>
      </w:r>
      <w:r>
        <w:t>、</w:t>
      </w:r>
      <w:r>
        <w:t xml:space="preserve">JNU </w:t>
      </w:r>
      <w:r>
        <w:t>和</w:t>
      </w:r>
      <w:r>
        <w:t xml:space="preserve"> PU </w:t>
      </w:r>
      <w:r>
        <w:t>的原始振动序列切成</w:t>
      </w:r>
      <w:r>
        <w:t xml:space="preserve"> 2048 </w:t>
      </w:r>
      <w:r>
        <w:t>点窗口样本。</w:t>
      </w:r>
    </w:p>
    <w:p w14:paraId="03356582" w14:textId="77777777" w:rsidR="005D21B3" w:rsidRDefault="00000000">
      <w:pPr>
        <w:pStyle w:val="a"/>
      </w:pPr>
      <w:r>
        <w:t>为每个窗口计算</w:t>
      </w:r>
      <w:r>
        <w:t xml:space="preserve"> 12 </w:t>
      </w:r>
      <w:r>
        <w:t>个时域特征和</w:t>
      </w:r>
      <w:r>
        <w:t xml:space="preserve"> 12 </w:t>
      </w:r>
      <w:r>
        <w:t>个频域特征，形成</w:t>
      </w:r>
      <w:r>
        <w:t xml:space="preserve"> 24 </w:t>
      </w:r>
      <w:r>
        <w:t>维统计特征。</w:t>
      </w:r>
    </w:p>
    <w:p w14:paraId="3283E94B" w14:textId="77777777" w:rsidR="005D21B3" w:rsidRDefault="00000000">
      <w:pPr>
        <w:pStyle w:val="a"/>
      </w:pPr>
      <w:r>
        <w:t>将特征按固定字段顺序改写为</w:t>
      </w:r>
      <w:r>
        <w:t>“</w:t>
      </w:r>
      <w:r>
        <w:t>特征名</w:t>
      </w:r>
      <w:r>
        <w:t xml:space="preserve"> = </w:t>
      </w:r>
      <w:r>
        <w:t>数值</w:t>
      </w:r>
      <w:r>
        <w:t>”</w:t>
      </w:r>
      <w:r>
        <w:t>的文本，并附上任务指令和标准标签。</w:t>
      </w:r>
    </w:p>
    <w:p w14:paraId="0999BD84" w14:textId="77777777" w:rsidR="005D21B3" w:rsidRDefault="00000000">
      <w:pPr>
        <w:pStyle w:val="a"/>
      </w:pPr>
      <w:r>
        <w:t>选择</w:t>
      </w:r>
      <w:r>
        <w:t xml:space="preserve"> ChatGLM2-6B-chat </w:t>
      </w:r>
      <w:r>
        <w:t>作为基座模型，根据显存条件选择</w:t>
      </w:r>
      <w:r>
        <w:t xml:space="preserve"> LoRA </w:t>
      </w:r>
      <w:r>
        <w:t>或</w:t>
      </w:r>
      <w:r>
        <w:t xml:space="preserve"> QLoRA</w:t>
      </w:r>
      <w:r>
        <w:t>。</w:t>
      </w:r>
    </w:p>
    <w:p w14:paraId="6A081E35" w14:textId="77777777" w:rsidR="005D21B3" w:rsidRDefault="00000000">
      <w:pPr>
        <w:pStyle w:val="a"/>
      </w:pPr>
      <w:r>
        <w:t>按</w:t>
      </w:r>
      <w:r>
        <w:t xml:space="preserve"> 8:2 </w:t>
      </w:r>
      <w:r>
        <w:t>划分训练集和测试集；若做跨工况或跨数据集实验，应按工况或数据集划分，不能用普通随机划分替代。</w:t>
      </w:r>
    </w:p>
    <w:p w14:paraId="547BCC5E" w14:textId="77777777" w:rsidR="005D21B3" w:rsidRDefault="00000000">
      <w:pPr>
        <w:pStyle w:val="21"/>
      </w:pPr>
      <w:r>
        <w:t xml:space="preserve">6.3 </w:t>
      </w:r>
      <w:r>
        <w:t>案例二实验步骤</w:t>
      </w:r>
    </w:p>
    <w:p w14:paraId="2C5C0851" w14:textId="77777777" w:rsidR="005D21B3" w:rsidRDefault="00000000">
      <w:pPr>
        <w:pStyle w:val="a"/>
      </w:pPr>
      <w:r>
        <w:t>把原始振动序列切成</w:t>
      </w:r>
      <w:r>
        <w:t xml:space="preserve"> 2048 </w:t>
      </w:r>
      <w:r>
        <w:t>点窗口样本，并按</w:t>
      </w:r>
      <w:r>
        <w:t xml:space="preserve"> 8:1:1 </w:t>
      </w:r>
      <w:r>
        <w:t>划分训练集、验证集和测试集。</w:t>
      </w:r>
    </w:p>
    <w:p w14:paraId="61B7E0EB" w14:textId="77777777" w:rsidR="005D21B3" w:rsidRDefault="00000000">
      <w:pPr>
        <w:pStyle w:val="a"/>
      </w:pPr>
      <w:r>
        <w:t>以</w:t>
      </w:r>
      <w:r>
        <w:t xml:space="preserve"> patch size = 128</w:t>
      </w:r>
      <w:r>
        <w:t>、</w:t>
      </w:r>
      <w:r>
        <w:t xml:space="preserve">stride = 8 </w:t>
      </w:r>
      <w:r>
        <w:t>为例，把每个窗口切成</w:t>
      </w:r>
      <w:r>
        <w:t xml:space="preserve"> 241 </w:t>
      </w:r>
      <w:r>
        <w:t>个</w:t>
      </w:r>
      <w:r>
        <w:t xml:space="preserve"> patch</w:t>
      </w:r>
      <w:r>
        <w:t>。</w:t>
      </w:r>
    </w:p>
    <w:p w14:paraId="663C7AE0" w14:textId="77777777" w:rsidR="005D21B3" w:rsidRDefault="00000000">
      <w:pPr>
        <w:pStyle w:val="a"/>
      </w:pPr>
      <w:r>
        <w:t>使用一维卷积层把</w:t>
      </w:r>
      <w:r>
        <w:t xml:space="preserve"> patch </w:t>
      </w:r>
      <w:r>
        <w:t>映射到</w:t>
      </w:r>
      <w:r>
        <w:t xml:space="preserve"> GPT-2 </w:t>
      </w:r>
      <w:r>
        <w:t>输入维度，并加入正弦位置编码。</w:t>
      </w:r>
    </w:p>
    <w:p w14:paraId="3942C59B" w14:textId="77777777" w:rsidR="005D21B3" w:rsidRDefault="00000000">
      <w:pPr>
        <w:pStyle w:val="a"/>
      </w:pPr>
      <w:r>
        <w:t>冻结</w:t>
      </w:r>
      <w:r>
        <w:t xml:space="preserve"> GPT-2 </w:t>
      </w:r>
      <w:r>
        <w:t>的多头自注意力层和前馈网络层，只训练</w:t>
      </w:r>
      <w:r>
        <w:t xml:space="preserve"> LayerNorm </w:t>
      </w:r>
      <w:r>
        <w:t>与位置嵌入相关参数。</w:t>
      </w:r>
    </w:p>
    <w:p w14:paraId="51A3AA2B" w14:textId="77777777" w:rsidR="005D21B3" w:rsidRDefault="00000000">
      <w:pPr>
        <w:pStyle w:val="a"/>
      </w:pPr>
      <w:r>
        <w:t>使用交叉熵损失训练分类头，并用验证集选择最佳</w:t>
      </w:r>
      <w:r>
        <w:t xml:space="preserve"> epoch</w:t>
      </w:r>
      <w:r>
        <w:t>。</w:t>
      </w:r>
    </w:p>
    <w:p w14:paraId="0EC40BD1" w14:textId="77777777" w:rsidR="005D21B3" w:rsidRDefault="00000000">
      <w:pPr>
        <w:pStyle w:val="21"/>
      </w:pPr>
      <w:r>
        <w:t xml:space="preserve">6.4 </w:t>
      </w:r>
      <w:r>
        <w:t>结果解读要求</w:t>
      </w:r>
    </w:p>
    <w:p w14:paraId="1205FC63" w14:textId="77777777" w:rsidR="005D21B3" w:rsidRDefault="00000000">
      <w:r>
        <w:t>结果分析不应只报告一个总体准确率。案例一应关注单数据集、跨工况、跨数据集和小样本继续微调的差异；案例二还应关注</w:t>
      </w:r>
      <w:r>
        <w:t xml:space="preserve"> patch size</w:t>
      </w:r>
      <w:r>
        <w:t>、</w:t>
      </w:r>
      <w:r>
        <w:t>stride</w:t>
      </w:r>
      <w:r>
        <w:t>、训练时间和跨数据集表现之间的权衡。若使用混淆矩阵或</w:t>
      </w:r>
      <w:r>
        <w:t xml:space="preserve"> t-SNE </w:t>
      </w:r>
      <w:r>
        <w:t>可视化，应说明它们分别用于观察类别混淆和特征空间分离，而不是替代评价指标。</w:t>
      </w:r>
    </w:p>
    <w:p w14:paraId="0AB022EE" w14:textId="77777777" w:rsidR="005D21B3" w:rsidRDefault="00000000">
      <w:pPr>
        <w:pStyle w:val="1"/>
      </w:pPr>
      <w:r>
        <w:t xml:space="preserve">7. </w:t>
      </w:r>
      <w:r>
        <w:t>预期输出与检查方法</w:t>
      </w:r>
    </w:p>
    <w:p w14:paraId="2238CA72" w14:textId="77777777" w:rsidR="005D21B3" w:rsidRDefault="00000000">
      <w:pPr>
        <w:spacing w:after="80"/>
      </w:pPr>
      <w:r>
        <w:rPr>
          <w:rFonts w:eastAsia="黑体"/>
          <w:b/>
        </w:rPr>
        <w:t>样本输入：</w:t>
      </w:r>
      <w:r>
        <w:t>案例一应形成特征文本样本；案例二应形成</w:t>
      </w:r>
      <w:r>
        <w:t xml:space="preserve"> patch </w:t>
      </w:r>
      <w:r>
        <w:t>序列嵌入。检查重点是输入是否与任务接口一致。</w:t>
      </w:r>
    </w:p>
    <w:p w14:paraId="77BB43EA" w14:textId="77777777" w:rsidR="005D21B3" w:rsidRDefault="00000000">
      <w:pPr>
        <w:spacing w:after="80"/>
      </w:pPr>
      <w:r>
        <w:rPr>
          <w:rFonts w:eastAsia="黑体"/>
          <w:b/>
        </w:rPr>
        <w:t>标签输出：</w:t>
      </w:r>
      <w:r>
        <w:t>两个案例都输出故障类别文本或类别编号。检查重点是标签命名是否统一。</w:t>
      </w:r>
    </w:p>
    <w:p w14:paraId="6629534E" w14:textId="77777777" w:rsidR="005D21B3" w:rsidRDefault="00000000">
      <w:pPr>
        <w:spacing w:after="80"/>
      </w:pPr>
      <w:r>
        <w:rPr>
          <w:rFonts w:eastAsia="黑体"/>
          <w:b/>
        </w:rPr>
        <w:t>训练记录：</w:t>
      </w:r>
      <w:r>
        <w:t>案例一需记录</w:t>
      </w:r>
      <w:r>
        <w:t xml:space="preserve"> LoRA/QLoRA </w:t>
      </w:r>
      <w:r>
        <w:t>设置、</w:t>
      </w:r>
      <w:r>
        <w:t xml:space="preserve">epoch </w:t>
      </w:r>
      <w:r>
        <w:t>和划分方式；案例二需记录</w:t>
      </w:r>
      <w:r>
        <w:t xml:space="preserve"> patch size</w:t>
      </w:r>
      <w:r>
        <w:t>、</w:t>
      </w:r>
      <w:r>
        <w:t>stride</w:t>
      </w:r>
      <w:r>
        <w:t>、</w:t>
      </w:r>
      <w:r>
        <w:t xml:space="preserve">learning rate </w:t>
      </w:r>
      <w:r>
        <w:t>和</w:t>
      </w:r>
      <w:r>
        <w:t xml:space="preserve"> epoch</w:t>
      </w:r>
      <w:r>
        <w:t>。</w:t>
      </w:r>
    </w:p>
    <w:p w14:paraId="5A6DB55F" w14:textId="77777777" w:rsidR="005D21B3" w:rsidRDefault="00000000">
      <w:pPr>
        <w:spacing w:after="80"/>
      </w:pPr>
      <w:r>
        <w:rPr>
          <w:rFonts w:eastAsia="黑体"/>
          <w:b/>
        </w:rPr>
        <w:lastRenderedPageBreak/>
        <w:t>评价结果：</w:t>
      </w:r>
      <w:r>
        <w:t>两个案例都应按单数据集、跨工况、跨数据集或小样本迁移边界解释结果，不应只报告孤立准确率。</w:t>
      </w:r>
    </w:p>
    <w:p w14:paraId="3DD3D5C7" w14:textId="77777777" w:rsidR="005D21B3" w:rsidRDefault="00000000">
      <w:pPr>
        <w:pStyle w:val="1"/>
      </w:pPr>
      <w:r>
        <w:t xml:space="preserve">8. </w:t>
      </w:r>
      <w:r>
        <w:t>实验练习题</w:t>
      </w:r>
    </w:p>
    <w:p w14:paraId="02BD0C16" w14:textId="77777777" w:rsidR="005D21B3" w:rsidRDefault="00000000">
      <w:pPr>
        <w:pStyle w:val="a"/>
      </w:pPr>
      <w:r>
        <w:t>为什么特征文本化路线适合用来连接前面章节的特征工程内容？</w:t>
      </w:r>
    </w:p>
    <w:p w14:paraId="298564D6" w14:textId="77777777" w:rsidR="005D21B3" w:rsidRDefault="00000000">
      <w:pPr>
        <w:pStyle w:val="a"/>
      </w:pPr>
      <w:r>
        <w:t xml:space="preserve">LoRA </w:t>
      </w:r>
      <w:r>
        <w:t>和</w:t>
      </w:r>
      <w:r>
        <w:t xml:space="preserve"> QLoRA </w:t>
      </w:r>
      <w:r>
        <w:t>解决的是训练资源问题，还是故障诊断任务定义问题？请说明理由。</w:t>
      </w:r>
    </w:p>
    <w:p w14:paraId="7D7A2C19" w14:textId="77777777" w:rsidR="005D21B3" w:rsidRDefault="00000000">
      <w:pPr>
        <w:pStyle w:val="a"/>
      </w:pPr>
      <w:r>
        <w:t>为什么高采样率振动序列不适合逐点直接送入</w:t>
      </w:r>
      <w:r>
        <w:t xml:space="preserve"> GPT-2</w:t>
      </w:r>
      <w:r>
        <w:t>？</w:t>
      </w:r>
      <w:r>
        <w:t xml:space="preserve">patching </w:t>
      </w:r>
      <w:r>
        <w:t>在其中解决了什么问题？</w:t>
      </w:r>
    </w:p>
    <w:p w14:paraId="52FAC16D" w14:textId="77777777" w:rsidR="005D21B3" w:rsidRDefault="00000000">
      <w:pPr>
        <w:pStyle w:val="a"/>
      </w:pPr>
      <w:r>
        <w:t>若跨工况实验采用普通随机划分，为什么会削弱实验结论的可信度？</w:t>
      </w:r>
    </w:p>
    <w:p w14:paraId="78DB66A9" w14:textId="77777777" w:rsidR="005D21B3" w:rsidRDefault="00000000">
      <w:pPr>
        <w:pStyle w:val="a"/>
      </w:pPr>
      <w:r>
        <w:t>比较两个案例在解释性、工程复杂度和适用场景上的差异。若课堂时间有限，应优先讲哪一个案例？为什么？</w:t>
      </w:r>
    </w:p>
    <w:p w14:paraId="13FE4919" w14:textId="77777777" w:rsidR="005D21B3" w:rsidRDefault="00000000">
      <w:pPr>
        <w:pStyle w:val="1"/>
      </w:pPr>
      <w:r>
        <w:t xml:space="preserve">9. </w:t>
      </w:r>
      <w:r>
        <w:t>补充说明</w:t>
      </w:r>
    </w:p>
    <w:p w14:paraId="1D47068C" w14:textId="77777777" w:rsidR="005D21B3" w:rsidRDefault="00000000">
      <w:r>
        <w:t>本目录当前提供的是教材可讲解的实验说明，不是完整训练工程。若后续需要落成可运行代码，应补充数据下载与清洗脚本、特征提取脚本、训练配置、日志记录、模型保存和结果复核模块。课堂使用时，应把两个案例作为理解大模型接口的材料，而不是把参考论文中的数值结果直接当作本地复现实验结果。</w:t>
      </w:r>
    </w:p>
    <w:p w14:paraId="48D2E0C1" w14:textId="77777777" w:rsidR="005D21B3" w:rsidRDefault="00000000">
      <w:pPr>
        <w:pStyle w:val="1"/>
      </w:pPr>
      <w:r>
        <w:t xml:space="preserve">10. </w:t>
      </w:r>
      <w:r>
        <w:t>参考来源</w:t>
      </w:r>
    </w:p>
    <w:p w14:paraId="5D053948" w14:textId="77777777" w:rsidR="005D21B3" w:rsidRDefault="00000000">
      <w:r>
        <w:t>TAO L, LIU H, NING G, et al. LLM-based framework for bearing fault diagnosis[J]. Mechanical Systems and Signal Processing, 2025, 224: 112127. DOI: 10.1016/j.ymssp.2024.112127.</w:t>
      </w:r>
    </w:p>
    <w:p w14:paraId="2C7371F3" w14:textId="77777777" w:rsidR="005D21B3" w:rsidRDefault="00000000">
      <w:r>
        <w:t>NIE Y, NGUYEN N H, SINTHONG P, KALAGNANAM J. A time series is worth 64 words: long-term forecasting with transformers[C]//International Conference on Learning Representations. 2023.</w:t>
      </w:r>
    </w:p>
    <w:p w14:paraId="63E7353E" w14:textId="77777777" w:rsidR="005D21B3" w:rsidRDefault="00000000">
      <w:pPr>
        <w:pStyle w:val="1"/>
      </w:pPr>
      <w:r>
        <w:t xml:space="preserve">11. </w:t>
      </w:r>
      <w:r>
        <w:t>实验总结</w:t>
      </w:r>
    </w:p>
    <w:p w14:paraId="37F26DAE" w14:textId="77777777" w:rsidR="005D21B3" w:rsidRDefault="00000000">
      <w:r>
        <w:t>两个案例共同说明，大模型进入智能运维并不只有一种方式。特征文本化路线保留了传统特征工程的可解释性，适合帮助学生理解大模型语言接口；振动序列补丁化路线更接近端到端时序建模，适合说明大模型主干如何适配非文本输入。把两条路线并列学习，才能准确理解第</w:t>
      </w:r>
      <w:r>
        <w:t xml:space="preserve"> 11 </w:t>
      </w:r>
      <w:r>
        <w:t>章的大模型应用边界。</w:t>
      </w:r>
    </w:p>
    <w:sectPr w:rsidR="005D21B3" w:rsidSect="00034616">
      <w:pgSz w:w="12240" w:h="15840"/>
      <w:pgMar w:top="1361" w:right="1361"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38512870">
    <w:abstractNumId w:val="8"/>
  </w:num>
  <w:num w:numId="2" w16cid:durableId="447430149">
    <w:abstractNumId w:val="6"/>
  </w:num>
  <w:num w:numId="3" w16cid:durableId="1752577961">
    <w:abstractNumId w:val="5"/>
  </w:num>
  <w:num w:numId="4" w16cid:durableId="1486899014">
    <w:abstractNumId w:val="4"/>
  </w:num>
  <w:num w:numId="5" w16cid:durableId="736977056">
    <w:abstractNumId w:val="7"/>
  </w:num>
  <w:num w:numId="6" w16cid:durableId="1246299910">
    <w:abstractNumId w:val="3"/>
  </w:num>
  <w:num w:numId="7" w16cid:durableId="2048946835">
    <w:abstractNumId w:val="2"/>
  </w:num>
  <w:num w:numId="8" w16cid:durableId="712972208">
    <w:abstractNumId w:val="1"/>
  </w:num>
  <w:num w:numId="9" w16cid:durableId="2060738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1B3"/>
    <w:rsid w:val="00AA1D8D"/>
    <w:rsid w:val="00AA23DB"/>
    <w:rsid w:val="00B47730"/>
    <w:rsid w:val="00C3444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EDCA8"/>
  <w14:defaultImageDpi w14:val="300"/>
  <w15:docId w15:val="{C39BADE5-3C03-449D-92D1-2BF4598C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宋体" w:hAnsi="Times New Roman"/>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福琦 蒋</cp:lastModifiedBy>
  <cp:revision>2</cp:revision>
  <dcterms:created xsi:type="dcterms:W3CDTF">2013-12-23T23:15:00Z</dcterms:created>
  <dcterms:modified xsi:type="dcterms:W3CDTF">2026-04-24T08:53:00Z</dcterms:modified>
  <cp:category/>
</cp:coreProperties>
</file>