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rFonts w:ascii="Times New Roman" w:cs="Times New Roman" w:eastAsia="Times New Roman" w:hAnsi="Times New Roman"/>
          <w:b/>
          <w:bCs/>
          <w:sz w:val="28"/>
          <w:szCs w:val="28"/>
        </w:rPr>
        <w:t xml:space="preserve">I. The 1431 Paris Coronation: Political Context and Proceedings</w:t>
      </w:r>
    </w:p>
    <w:p>
      <w:pPr>
        <w:spacing w:after="200" w:line="276"/>
        <w:jc w:val="both"/>
      </w:pPr>
      <w:r>
        <w:rPr>
          <w:rFonts w:ascii="Times New Roman" w:cs="Times New Roman" w:eastAsia="Times New Roman" w:hAnsi="Times New Roman"/>
          <w:sz w:val="24"/>
          <w:szCs w:val="24"/>
        </w:rPr>
        <w:t xml:space="preserve">Henry VI's French coronation was planned well before the king reached Paris. In April 1429 Bedford wrote to the English Parliament proposing that Henry should be crowned in France so that the great lords there might do him homage.</w:t>
      </w:r>
      <w:r>
        <w:rPr>
          <w:rStyle w:val="FootnoteReference"/>
        </w:rPr>
        <w:footnoteReference w:id="7"/>
      </w:r>
    </w:p>
    <w:p>
      <w:pPr>
        <w:spacing w:after="200" w:line="276"/>
        <w:jc w:val="both"/>
      </w:pPr>
      <w:r>
        <w:rPr>
          <w:rFonts w:ascii="Times New Roman" w:cs="Times New Roman" w:eastAsia="Times New Roman" w:hAnsi="Times New Roman"/>
          <w:sz w:val="24"/>
          <w:szCs w:val="24"/>
        </w:rPr>
        <w:t xml:space="preserve">In October the Paris municipality read royal letters announcing the king's intended journey after his English coronation.</w:t>
      </w:r>
      <w:r>
        <w:rPr>
          <w:rStyle w:val="FootnoteReference"/>
        </w:rPr>
        <w:footnoteReference w:id="8"/>
      </w:r>
    </w:p>
    <w:p>
      <w:pPr>
        <w:spacing w:after="200" w:line="276"/>
        <w:jc w:val="both"/>
      </w:pPr>
      <w:r>
        <w:rPr>
          <w:rFonts w:ascii="Times New Roman" w:cs="Times New Roman" w:eastAsia="Times New Roman" w:hAnsi="Times New Roman"/>
          <w:sz w:val="24"/>
          <w:szCs w:val="24"/>
        </w:rPr>
        <w:t xml:space="preserve">Charles VII's coronation at Reims in the intervening summer transformed these plans into a political necessity. By being anointed with the Sainte Ampoule at the traditional site of French royal consecration, Charles acquired a sacral recognition that Troyes had been designed to deny him.</w:t>
      </w:r>
      <w:r>
        <w:rPr>
          <w:rStyle w:val="FootnoteReference"/>
        </w:rPr>
        <w:footnoteReference w:id="9"/>
      </w:r>
    </w:p>
    <w:p>
      <w:pPr>
        <w:spacing w:after="200" w:line="276"/>
        <w:jc w:val="both"/>
      </w:pPr>
      <w:r>
        <w:rPr>
          <w:rFonts w:ascii="Times New Roman" w:cs="Times New Roman" w:eastAsia="Times New Roman" w:hAnsi="Times New Roman"/>
          <w:sz w:val="24"/>
          <w:szCs w:val="24"/>
        </w:rPr>
        <w:t xml:space="preserve">Without a French coronation of his own, Henry's title risked remaining a diplomatic settlement rather than an embodied kingship.</w:t>
      </w:r>
      <w:r>
        <w:rPr>
          <w:rStyle w:val="FootnoteReference"/>
        </w:rPr>
        <w:footnoteReference w:id="10"/>
      </w:r>
    </w:p>
    <w:p>
      <w:pPr>
        <w:spacing w:after="200" w:line="276"/>
        <w:jc w:val="both"/>
      </w:pPr>
      <w:r>
        <w:rPr>
          <w:rFonts w:ascii="Times New Roman" w:cs="Times New Roman" w:eastAsia="Times New Roman" w:hAnsi="Times New Roman"/>
          <w:sz w:val="24"/>
          <w:szCs w:val="24"/>
        </w:rPr>
        <w:t xml:space="preserve">Yet the expedition was delayed until 1431, when it was supported by parliamentary grants and by the recovery of a crown from Westminster Abbey for Henry to take into France.</w:t>
      </w:r>
      <w:r>
        <w:rPr>
          <w:rStyle w:val="FootnoteReference"/>
        </w:rPr>
        <w:footnoteReference w:id="11"/>
      </w:r>
    </w:p>
    <w:p>
      <w:pPr>
        <w:spacing w:after="200" w:line="276"/>
        <w:jc w:val="both"/>
      </w:pPr>
      <w:r>
        <w:rPr>
          <w:rFonts w:ascii="Times New Roman" w:cs="Times New Roman" w:eastAsia="Times New Roman" w:hAnsi="Times New Roman"/>
          <w:sz w:val="24"/>
          <w:szCs w:val="24"/>
        </w:rPr>
        <w:t xml:space="preserve">By then the problem was not simply how to crown Henry. It was how to do so before a Paris whose acceptance of Lancastrian rule was already strained.</w:t>
      </w:r>
    </w:p>
    <w:p>
      <w:pPr>
        <w:spacing w:after="200" w:line="276"/>
        <w:jc w:val="both"/>
      </w:pPr>
      <w:r>
        <w:rPr>
          <w:rFonts w:ascii="Times New Roman" w:cs="Times New Roman" w:eastAsia="Times New Roman" w:hAnsi="Times New Roman"/>
          <w:sz w:val="24"/>
          <w:szCs w:val="24"/>
        </w:rPr>
        <w:t xml:space="preserve">That acceptance had once been real. After the Burgundian seizure of Paris in May 1418, the city's major institutions — especially the Parlement, the </w:t>
      </w:r>
      <w:r>
        <w:rPr>
          <w:rFonts w:ascii="Times New Roman" w:cs="Times New Roman" w:eastAsia="Times New Roman" w:hAnsi="Times New Roman"/>
          <w:i/>
          <w:iCs/>
          <w:sz w:val="24"/>
          <w:szCs w:val="24"/>
        </w:rPr>
        <w:t xml:space="preserve">Université</w:t>
      </w:r>
      <w:r>
        <w:rPr>
          <w:rFonts w:ascii="Times New Roman" w:cs="Times New Roman" w:eastAsia="Times New Roman" w:hAnsi="Times New Roman"/>
          <w:sz w:val="24"/>
          <w:szCs w:val="24"/>
        </w:rPr>
        <w:t xml:space="preserve">, and the municipality — accommodated themselves to the Anglo-Burgundian order and helped sustain it. Troyes was not merely imposed on a uniformly reluctant capital. For many Parisian elites it promised the restoration of order, protection from Armagnac violence, and the defence of institutional privilege. Guillaume Sanguin, the money-changer who served as </w:t>
      </w:r>
      <w:r>
        <w:rPr>
          <w:rFonts w:ascii="Times New Roman" w:cs="Times New Roman" w:eastAsia="Times New Roman" w:hAnsi="Times New Roman"/>
          <w:i/>
          <w:iCs/>
          <w:sz w:val="24"/>
          <w:szCs w:val="24"/>
        </w:rPr>
        <w:t xml:space="preserve">Prévôt des marchands</w:t>
      </w:r>
      <w:r>
        <w:rPr>
          <w:rFonts w:ascii="Times New Roman" w:cs="Times New Roman" w:eastAsia="Times New Roman" w:hAnsi="Times New Roman"/>
          <w:sz w:val="24"/>
          <w:szCs w:val="24"/>
        </w:rPr>
        <w:t xml:space="preserve"> during much of the 1420s, was a committed Burgundian actor rather than a reluctant collaborator.</w:t>
      </w:r>
      <w:r>
        <w:rPr>
          <w:rStyle w:val="FootnoteReference"/>
        </w:rPr>
        <w:footnoteReference w:id="12"/>
      </w:r>
    </w:p>
    <w:p>
      <w:pPr>
        <w:spacing w:after="200" w:line="276"/>
        <w:jc w:val="both"/>
      </w:pPr>
      <w:r>
        <w:rPr>
          <w:rFonts w:ascii="Times New Roman" w:cs="Times New Roman" w:eastAsia="Times New Roman" w:hAnsi="Times New Roman"/>
          <w:sz w:val="24"/>
          <w:szCs w:val="24"/>
        </w:rPr>
        <w:t xml:space="preserve">This matters because it prevents the later rejection of English rule from being read backwards as the inevitable consequence of a fixed national hostility. Parisian cooperation was transactional, institutional, and conditional. It rested on the expectation that the new regime would deliver security, justice, and privilege.</w:t>
      </w:r>
    </w:p>
    <w:p>
      <w:pPr>
        <w:spacing w:after="200" w:line="276"/>
        <w:jc w:val="both"/>
      </w:pPr>
      <w:r>
        <w:rPr>
          <w:rFonts w:ascii="Times New Roman" w:cs="Times New Roman" w:eastAsia="Times New Roman" w:hAnsi="Times New Roman"/>
          <w:sz w:val="24"/>
          <w:szCs w:val="24"/>
        </w:rPr>
        <w:t xml:space="preserve">By 1431 those conditions were visibly eroding. Henry crossed to Calais in April, reached Rouen by May, and did not leave for Paris until late November.</w:t>
      </w:r>
      <w:r>
        <w:rPr>
          <w:rStyle w:val="FootnoteReference"/>
        </w:rPr>
        <w:footnoteReference w:id="13"/>
      </w:r>
    </w:p>
    <w:p>
      <w:pPr>
        <w:spacing w:after="200" w:line="276"/>
        <w:jc w:val="both"/>
      </w:pPr>
      <w:r>
        <w:rPr>
          <w:rFonts w:ascii="Times New Roman" w:cs="Times New Roman" w:eastAsia="Times New Roman" w:hAnsi="Times New Roman"/>
          <w:sz w:val="24"/>
          <w:szCs w:val="24"/>
        </w:rPr>
        <w:t xml:space="preserve">Rouen was the administrative centre of Lancastrian Normandy, and it was there that the king's court concentrated its presence for much of the year. Joan of Arc was imprisoned, tried, and burned at Rouen during Henry's stay.</w:t>
      </w:r>
      <w:r>
        <w:rPr>
          <w:rStyle w:val="FootnoteReference"/>
        </w:rPr>
        <w:footnoteReference w:id="14"/>
      </w:r>
    </w:p>
    <w:p>
      <w:pPr>
        <w:spacing w:after="200" w:line="276"/>
        <w:jc w:val="both"/>
      </w:pPr>
      <w:r>
        <w:rPr>
          <w:rFonts w:ascii="Times New Roman" w:cs="Times New Roman" w:eastAsia="Times New Roman" w:hAnsi="Times New Roman"/>
          <w:sz w:val="24"/>
          <w:szCs w:val="24"/>
        </w:rPr>
        <w:t xml:space="preserve">The juxtaposition was not politically neutral. Joan's trial was conducted under English ecclesiastical authority, and Henry's residence at the Norman capital throughout the proceedings associated the English crown with the condemnation of the woman whose visions had furnished Charles VII's Reims coronation with its prophetic force. Her burning in May 1431 was therefore also an act in the contest over sacral legitimacy that the Paris coronation was designed to settle. The same royal court that oversaw Joan's destruction was, by December, attempting to present Henry as a credible French king before the very institutions that had followed events at Rouen closely. Whether Parisian observers drew this connection explicitly is difficult to recover from the sources, but the sequence charged the approaching coronation with a political significance that went beyond ceremonial display.</w:t>
      </w:r>
    </w:p>
    <w:p>
      <w:pPr>
        <w:spacing w:after="200" w:line="276"/>
        <w:jc w:val="both"/>
      </w:pPr>
      <w:r>
        <w:rPr>
          <w:rFonts w:ascii="Times New Roman" w:cs="Times New Roman" w:eastAsia="Times New Roman" w:hAnsi="Times New Roman"/>
          <w:sz w:val="24"/>
          <w:szCs w:val="24"/>
        </w:rPr>
        <w:t xml:space="preserve">This sequence need not be interpreted as a deliberate slight to Paris, but it made the regime's priorities legible. Normandy received the court, military attention, and administrative investment. Paris, increasingly insecure and impoverished, was asked to wait for a ceremony. A settlement that had promised order was now measured by its failure to provide it.</w:t>
      </w:r>
    </w:p>
    <w:p>
      <w:pPr>
        <w:spacing w:after="200" w:line="276"/>
        <w:jc w:val="both"/>
      </w:pPr>
      <w:r>
        <w:rPr>
          <w:rFonts w:ascii="Times New Roman" w:cs="Times New Roman" w:eastAsia="Times New Roman" w:hAnsi="Times New Roman"/>
          <w:sz w:val="24"/>
          <w:szCs w:val="24"/>
        </w:rPr>
        <w:t xml:space="preserve">The condition of Paris made this imbalance politically dangerous. The </w:t>
      </w:r>
      <w:r>
        <w:rPr>
          <w:rFonts w:ascii="Times New Roman" w:cs="Times New Roman" w:eastAsia="Times New Roman" w:hAnsi="Times New Roman"/>
          <w:i/>
          <w:iCs/>
          <w:sz w:val="24"/>
          <w:szCs w:val="24"/>
        </w:rPr>
        <w:t xml:space="preserve">Journal d'un Bourgeois de Paris</w:t>
      </w:r>
      <w:r>
        <w:rPr>
          <w:rFonts w:ascii="Times New Roman" w:cs="Times New Roman" w:eastAsia="Times New Roman" w:hAnsi="Times New Roman"/>
          <w:sz w:val="24"/>
          <w:szCs w:val="24"/>
        </w:rPr>
        <w:t xml:space="preserve"> depicts a city marked by famine, crime, and exhaustion.</w:t>
      </w:r>
      <w:r>
        <w:rPr>
          <w:rStyle w:val="FootnoteReference"/>
        </w:rPr>
        <w:footnoteReference w:id="15"/>
      </w:r>
    </w:p>
    <w:p>
      <w:pPr>
        <w:spacing w:after="200" w:line="276"/>
        <w:jc w:val="both"/>
      </w:pPr>
      <w:r>
        <w:rPr>
          <w:rFonts w:ascii="Times New Roman" w:cs="Times New Roman" w:eastAsia="Times New Roman" w:hAnsi="Times New Roman"/>
          <w:sz w:val="24"/>
          <w:szCs w:val="24"/>
        </w:rPr>
        <w:t xml:space="preserve">In early 1431 Simon Morhier, the </w:t>
      </w:r>
      <w:r>
        <w:rPr>
          <w:rFonts w:ascii="Times New Roman" w:cs="Times New Roman" w:eastAsia="Times New Roman" w:hAnsi="Times New Roman"/>
          <w:i/>
          <w:iCs/>
          <w:sz w:val="24"/>
          <w:szCs w:val="24"/>
        </w:rPr>
        <w:t xml:space="preserve">Prévôt</w:t>
      </w:r>
      <w:r>
        <w:rPr>
          <w:rFonts w:ascii="Times New Roman" w:cs="Times New Roman" w:eastAsia="Times New Roman" w:hAnsi="Times New Roman"/>
          <w:sz w:val="24"/>
          <w:szCs w:val="24"/>
        </w:rPr>
        <w:t xml:space="preserve"> of Paris, and the </w:t>
      </w:r>
      <w:r>
        <w:rPr>
          <w:rFonts w:ascii="Times New Roman" w:cs="Times New Roman" w:eastAsia="Times New Roman" w:hAnsi="Times New Roman"/>
          <w:i/>
          <w:iCs/>
          <w:sz w:val="24"/>
          <w:szCs w:val="24"/>
        </w:rPr>
        <w:t xml:space="preserve">échevins</w:t>
      </w:r>
      <w:r>
        <w:rPr>
          <w:rFonts w:ascii="Times New Roman" w:cs="Times New Roman" w:eastAsia="Times New Roman" w:hAnsi="Times New Roman"/>
          <w:sz w:val="24"/>
          <w:szCs w:val="24"/>
        </w:rPr>
        <w:t xml:space="preserve"> jointly petitioned Notre-Dame for charitable relief for the poor.</w:t>
      </w:r>
      <w:r>
        <w:rPr>
          <w:rStyle w:val="FootnoteReference"/>
        </w:rPr>
        <w:footnoteReference w:id="16"/>
      </w:r>
    </w:p>
    <w:p>
      <w:pPr>
        <w:spacing w:after="20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Complainte de la Ville de Paris</w:t>
      </w:r>
      <w:r>
        <w:rPr>
          <w:rFonts w:ascii="Times New Roman" w:cs="Times New Roman" w:eastAsia="Times New Roman" w:hAnsi="Times New Roman"/>
          <w:sz w:val="24"/>
          <w:szCs w:val="24"/>
        </w:rPr>
        <w:t xml:space="preserve">, preserved in </w:t>
      </w:r>
      <w:r>
        <w:rPr>
          <w:rFonts w:ascii="Times New Roman" w:cs="Times New Roman" w:eastAsia="Times New Roman" w:hAnsi="Times New Roman"/>
          <w:i/>
          <w:iCs/>
          <w:sz w:val="24"/>
          <w:szCs w:val="24"/>
        </w:rPr>
        <w:t xml:space="preserve">London Letter Book K</w:t>
      </w:r>
      <w:r>
        <w:rPr>
          <w:rFonts w:ascii="Times New Roman" w:cs="Times New Roman" w:eastAsia="Times New Roman" w:hAnsi="Times New Roman"/>
          <w:sz w:val="24"/>
          <w:szCs w:val="24"/>
        </w:rPr>
        <w:t xml:space="preserve">, gives this distress a sharper political form. Beginning 'Je suis Paris', it ends each stanza with the warning, 'Ou vous perdrez Paris et toute France!' The warning is addressed not to the child king, described as 'trop jeune et de povre puissance', but to the 'Seigneurs Angloiz' around Bedford.</w:t>
      </w:r>
      <w:r>
        <w:rPr>
          <w:rStyle w:val="FootnoteReference"/>
        </w:rPr>
        <w:footnoteReference w:id="17"/>
      </w:r>
    </w:p>
    <w:p>
      <w:pPr>
        <w:spacing w:after="200" w:line="276"/>
        <w:jc w:val="both"/>
      </w:pPr>
      <w:r>
        <w:rPr>
          <w:rFonts w:ascii="Times New Roman" w:cs="Times New Roman" w:eastAsia="Times New Roman" w:hAnsi="Times New Roman"/>
          <w:sz w:val="24"/>
          <w:szCs w:val="24"/>
        </w:rPr>
        <w:t xml:space="preserve">The poem marks a crucial shift in the axis of blame. Earlier Parisian-Burgundian language had cast the Armagnacs as the outsiders from whom the city needed protection. On the eve of Henry's coronation, the English lords who claimed to protect Paris were themselves becoming the addressees of accusation.</w:t>
      </w:r>
    </w:p>
    <w:p>
      <w:pPr>
        <w:spacing w:after="200" w:line="276"/>
        <w:jc w:val="both"/>
      </w:pPr>
      <w:r>
        <w:rPr>
          <w:rFonts w:ascii="Times New Roman" w:cs="Times New Roman" w:eastAsia="Times New Roman" w:hAnsi="Times New Roman"/>
          <w:sz w:val="24"/>
          <w:szCs w:val="24"/>
        </w:rPr>
        <w:t xml:space="preserve">The approaching coronation therefore had two meanings. For the Lancastrian government, it was a chance to make the treaty of Troyes visible as kingship. For Parisian institutions, it was an occasion to present accumulated claims for privilege, protection, judicial order, and fiscal relief. Both sides treated the event as unprecedented. Parisian institutions consulted registers and chronicles to determine how the king should be received, while Lancastrian advisers drew on French historical and ceremonial models, including the </w:t>
      </w:r>
      <w:r>
        <w:rPr>
          <w:rFonts w:ascii="Times New Roman" w:cs="Times New Roman" w:eastAsia="Times New Roman" w:hAnsi="Times New Roman"/>
          <w:i/>
          <w:iCs/>
          <w:sz w:val="24"/>
          <w:szCs w:val="24"/>
        </w:rPr>
        <w:t xml:space="preserve">Grandes Chroniques de France</w:t>
      </w:r>
      <w:r>
        <w:rPr>
          <w:rFonts w:ascii="Times New Roman" w:cs="Times New Roman" w:eastAsia="Times New Roman" w:hAnsi="Times New Roman"/>
          <w:sz w:val="24"/>
          <w:szCs w:val="24"/>
        </w:rPr>
        <w:t xml:space="preserve">, to prepare a Parisian coronation without an exact precedent.</w:t>
      </w:r>
      <w:r>
        <w:rPr>
          <w:rStyle w:val="FootnoteReference"/>
        </w:rPr>
        <w:footnoteReference w:id="18"/>
      </w:r>
    </w:p>
    <w:p>
      <w:pPr>
        <w:spacing w:after="200" w:line="276"/>
        <w:jc w:val="both"/>
      </w:pPr>
      <w:r>
        <w:rPr>
          <w:rFonts w:ascii="Times New Roman" w:cs="Times New Roman" w:eastAsia="Times New Roman" w:hAnsi="Times New Roman"/>
          <w:sz w:val="24"/>
          <w:szCs w:val="24"/>
        </w:rPr>
        <w:t xml:space="preserve">Yet the political coalition that made such a ceremony credible was weakening. Philip the Good's absence from the Parisian ceremonies reduced the Burgundian authentication on which Lancastrian authority in the capital had long depended.</w:t>
      </w:r>
      <w:r>
        <w:rPr>
          <w:rStyle w:val="FootnoteReference"/>
        </w:rPr>
        <w:footnoteReference w:id="19"/>
      </w:r>
    </w:p>
    <w:p>
      <w:pPr>
        <w:spacing w:after="200" w:line="276"/>
        <w:jc w:val="both"/>
      </w:pPr>
      <w:r>
        <w:rPr>
          <w:rFonts w:ascii="Times New Roman" w:cs="Times New Roman" w:eastAsia="Times New Roman" w:hAnsi="Times New Roman"/>
          <w:sz w:val="24"/>
          <w:szCs w:val="24"/>
        </w:rPr>
        <w:t xml:space="preserve">The coronation was thus prepared with unusual care at the moment when the alliance that had sustained it was beginning to fail.</w:t>
      </w:r>
    </w:p>
    <w:p>
      <w:pPr>
        <w:spacing w:after="200" w:line="276"/>
        <w:jc w:val="both"/>
      </w:pPr>
      <w:r>
        <w:rPr>
          <w:rFonts w:ascii="Times New Roman" w:cs="Times New Roman" w:eastAsia="Times New Roman" w:hAnsi="Times New Roman"/>
          <w:sz w:val="24"/>
          <w:szCs w:val="24"/>
        </w:rPr>
        <w:t xml:space="preserve">Henry entered Paris on 2 December 1431, the first Sunday of Advent, recalling Henry V's entry on Advent Sunday in 1420 and giving the occasion a recognised liturgical resonance.</w:t>
      </w:r>
      <w:r>
        <w:rPr>
          <w:rStyle w:val="FootnoteReference"/>
        </w:rPr>
        <w:footnoteReference w:id="20"/>
      </w:r>
    </w:p>
    <w:p>
      <w:pPr>
        <w:spacing w:after="200" w:line="276"/>
        <w:jc w:val="both"/>
      </w:pPr>
      <w:r>
        <w:rPr>
          <w:rFonts w:ascii="Times New Roman" w:cs="Times New Roman" w:eastAsia="Times New Roman" w:hAnsi="Times New Roman"/>
          <w:sz w:val="24"/>
          <w:szCs w:val="24"/>
        </w:rPr>
        <w:t xml:space="preserve">The entry was organised and financed by the city authorities. It was therefore not only royal display, but civic self-presentation. Its tableaux, including Saint Denis and the Nine Worthies, offered images of Christian kingship, justice, protection, and communal defence.</w:t>
      </w:r>
      <w:r>
        <w:rPr>
          <w:rStyle w:val="FootnoteReference"/>
        </w:rPr>
        <w:footnoteReference w:id="21"/>
      </w:r>
    </w:p>
    <w:p>
      <w:pPr>
        <w:spacing w:after="200" w:line="276"/>
        <w:jc w:val="both"/>
      </w:pPr>
      <w:r>
        <w:rPr>
          <w:rFonts w:ascii="Times New Roman" w:cs="Times New Roman" w:eastAsia="Times New Roman" w:hAnsi="Times New Roman"/>
          <w:sz w:val="24"/>
          <w:szCs w:val="24"/>
        </w:rPr>
        <w:t xml:space="preserve">These images were not acts of open resistance. They made visible the standards by which Paris expected the young king and his governors to be judged. The coronation mass followed at Notre-Dame on 16 December, with Cardinal Henry Beaufort, bishop of Winchester, presiding. A banquet followed at the Palais, and on 21 December Henry attended the Parlement de Paris for the swearing of oaths of loyalty. He left soon afterwards for England, leaving the government of France again in Bedford's hands. The question, then, is how a royal visit designed to restore confidence instead clarified the gap between Lancastrian claims to French kingship and Parisian expectations.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7">
    <w:p>
      <w:pPr>
        <w:spacing w:after="120"/>
      </w:pPr>
      <w:r>
        <w:rPr>
          <w:rStyle w:val="FootnoteReference"/>
        </w:rPr>
        <w:footnoteRef/>
      </w:r>
      <w:r>
        <w:rPr>
          <w:rFonts w:ascii="Times New Roman" w:cs="Times New Roman" w:eastAsia="Times New Roman" w:hAnsi="Times New Roman"/>
          <w:sz w:val="20"/>
          <w:szCs w:val="20"/>
        </w:rPr>
        <w:t xml:space="preserve">Bedford to the English Parliament, April 1429: cited in John W. McKenna, 'Henry VI of England and the Dual Monarchy: Aspects of Royal Political Propaganda, 1422–1432,' Journal of the Warburg and Courtauld Institutes 28 (1965), p. 145.</w:t>
      </w:r>
    </w:p>
  </w:footnote>
  <w:footnote w:id="8">
    <w:p>
      <w:pPr>
        <w:spacing w:after="120"/>
      </w:pPr>
      <w:r>
        <w:rPr>
          <w:rStyle w:val="FootnoteReference"/>
        </w:rPr>
        <w:footnoteRef/>
      </w:r>
      <w:r>
        <w:rPr>
          <w:rFonts w:ascii="Times New Roman" w:cs="Times New Roman" w:eastAsia="Times New Roman" w:hAnsi="Times New Roman"/>
          <w:sz w:val="20"/>
          <w:szCs w:val="20"/>
        </w:rPr>
        <w:t xml:space="preserve">Paris municipality, October 1429: A. Tuetey (ed.), Journal d'un Bourgeois de Paris, 1405–1449 (Paris, 1881), p. 248.</w:t>
      </w:r>
    </w:p>
  </w:footnote>
  <w:footnote w:id="9">
    <w:p>
      <w:pPr>
        <w:spacing w:after="120"/>
      </w:pPr>
      <w:r>
        <w:rPr>
          <w:rStyle w:val="FootnoteReference"/>
        </w:rPr>
        <w:footnoteRef/>
      </w:r>
      <w:r>
        <w:rPr>
          <w:rFonts w:ascii="Times New Roman" w:cs="Times New Roman" w:eastAsia="Times New Roman" w:hAnsi="Times New Roman"/>
          <w:sz w:val="20"/>
          <w:szCs w:val="20"/>
        </w:rPr>
        <w:t xml:space="preserve">On Charles VII's sacral authority and the Sainte Ampoule, see Colette Beaune, The Birth of an Ideology: Myths and Symbols of Nation in Late-Medieval France, trans. Susan Ross Huston (Berkeley, 1991), pp. 172–198.</w:t>
      </w:r>
    </w:p>
  </w:footnote>
  <w:footnote w:id="10">
    <w:p>
      <w:pPr>
        <w:spacing w:after="120"/>
      </w:pPr>
      <w:r>
        <w:rPr>
          <w:rStyle w:val="FootnoteReference"/>
        </w:rPr>
        <w:footnoteRef/>
      </w:r>
      <w:r>
        <w:rPr>
          <w:rFonts w:ascii="Times New Roman" w:cs="Times New Roman" w:eastAsia="Times New Roman" w:hAnsi="Times New Roman"/>
          <w:sz w:val="20"/>
          <w:szCs w:val="20"/>
        </w:rPr>
        <w:t xml:space="preserve">Anne Curry, 'Two Kingdoms, One King: The Treaty of Troyes (1420) and the Creation of a Double Monarchy in England and France,' in Glenn Richardson (ed.), The Contending Kingdoms (London: Routledge, 2008), pp. 23–41.</w:t>
      </w:r>
    </w:p>
  </w:footnote>
  <w:footnote w:id="11">
    <w:p>
      <w:pPr>
        <w:spacing w:after="120"/>
      </w:pPr>
      <w:r>
        <w:rPr>
          <w:rStyle w:val="FootnoteReference"/>
        </w:rPr>
        <w:footnoteRef/>
      </w:r>
      <w:r>
        <w:rPr>
          <w:rFonts w:ascii="Times New Roman" w:cs="Times New Roman" w:eastAsia="Times New Roman" w:hAnsi="Times New Roman"/>
          <w:sz w:val="20"/>
          <w:szCs w:val="20"/>
        </w:rPr>
        <w:t xml:space="preserve">Parliamentary grants and the crown: R. A. Griffiths, The Reign of King Henry VI (London, 1981), p. 187.</w:t>
      </w:r>
    </w:p>
  </w:footnote>
  <w:footnote w:id="12">
    <w:p>
      <w:pPr>
        <w:spacing w:after="120"/>
      </w:pPr>
      <w:r>
        <w:rPr>
          <w:rStyle w:val="FootnoteReference"/>
        </w:rPr>
        <w:footnoteRef/>
      </w:r>
      <w:r>
        <w:rPr>
          <w:rFonts w:ascii="Times New Roman" w:cs="Times New Roman" w:eastAsia="Times New Roman" w:hAnsi="Times New Roman"/>
          <w:sz w:val="20"/>
          <w:szCs w:val="20"/>
        </w:rPr>
        <w:t xml:space="preserve">Guillaume Sanguin: see Bertrand Schnerb, L'État bourguignon, 1363–1477 (Paris, 1999), pp. 301–302.</w:t>
      </w:r>
    </w:p>
  </w:footnote>
  <w:footnote w:id="13">
    <w:p>
      <w:pPr>
        <w:spacing w:after="120"/>
      </w:pPr>
      <w:r>
        <w:rPr>
          <w:rStyle w:val="FootnoteReference"/>
        </w:rPr>
        <w:footnoteRef/>
      </w:r>
      <w:r>
        <w:rPr>
          <w:rFonts w:ascii="Times New Roman" w:cs="Times New Roman" w:eastAsia="Times New Roman" w:hAnsi="Times New Roman"/>
          <w:sz w:val="20"/>
          <w:szCs w:val="20"/>
        </w:rPr>
        <w:t xml:space="preserve">Henry's itinerary: Griffiths, Henry VI, pp. 186–188.</w:t>
      </w:r>
    </w:p>
  </w:footnote>
  <w:footnote w:id="14">
    <w:p>
      <w:pPr>
        <w:spacing w:after="120"/>
      </w:pPr>
      <w:r>
        <w:rPr>
          <w:rStyle w:val="FootnoteReference"/>
        </w:rPr>
        <w:footnoteRef/>
      </w:r>
      <w:r>
        <w:rPr>
          <w:rFonts w:ascii="Times New Roman" w:cs="Times New Roman" w:eastAsia="Times New Roman" w:hAnsi="Times New Roman"/>
          <w:sz w:val="20"/>
          <w:szCs w:val="20"/>
        </w:rPr>
        <w:t xml:space="preserve">On Joan of Arc's trial and Henry's presence at Rouen, see Henry Ansgar Kelly, 'The Right to Remain Silent: Before and After Joan of Arc,' Speculum 68 (1993), pp. 992–1026; and Pierre Tisset and Yvonne Lanhers (eds.), Procès de condamnation de Jeanne d'Arc, 3 vols. (Paris, 1960–71).</w:t>
      </w:r>
    </w:p>
  </w:footnote>
  <w:footnote w:id="15">
    <w:p>
      <w:pPr>
        <w:spacing w:after="120"/>
      </w:pPr>
      <w:r>
        <w:rPr>
          <w:rStyle w:val="FootnoteReference"/>
        </w:rPr>
        <w:footnoteRef/>
      </w:r>
      <w:r>
        <w:rPr>
          <w:rFonts w:ascii="Times New Roman" w:cs="Times New Roman" w:eastAsia="Times New Roman" w:hAnsi="Times New Roman"/>
          <w:sz w:val="20"/>
          <w:szCs w:val="20"/>
        </w:rPr>
        <w:t xml:space="preserve">Tuetey (ed.), Journal d'un Bourgeois, pp. 254–257.</w:t>
      </w:r>
    </w:p>
  </w:footnote>
  <w:footnote w:id="16">
    <w:p>
      <w:pPr>
        <w:spacing w:after="120"/>
      </w:pPr>
      <w:r>
        <w:rPr>
          <w:rStyle w:val="FootnoteReference"/>
        </w:rPr>
        <w:footnoteRef/>
      </w:r>
      <w:r>
        <w:rPr>
          <w:rFonts w:ascii="Times New Roman" w:cs="Times New Roman" w:eastAsia="Times New Roman" w:hAnsi="Times New Roman"/>
          <w:sz w:val="20"/>
          <w:szCs w:val="20"/>
        </w:rPr>
        <w:t xml:space="preserve">Simon Morhier petition: Archives Nationales, LL 116, fol. 143v.</w:t>
      </w:r>
    </w:p>
  </w:footnote>
  <w:footnote w:id="17">
    <w:p>
      <w:pPr>
        <w:spacing w:after="120"/>
      </w:pPr>
      <w:r>
        <w:rPr>
          <w:rStyle w:val="FootnoteReference"/>
        </w:rPr>
        <w:footnoteRef/>
      </w:r>
      <w:r>
        <w:rPr>
          <w:rFonts w:ascii="Times New Roman" w:cs="Times New Roman" w:eastAsia="Times New Roman" w:hAnsi="Times New Roman"/>
          <w:sz w:val="20"/>
          <w:szCs w:val="20"/>
        </w:rPr>
        <w:t xml:space="preserve">Complainte de la Ville de Paris: London, London Metropolitan Archives, Letter Book K, fol. 212r. See also Graeme Small, George Chastelain and the Shaping of Valois Burgundy (Woodbridge, 1997), pp. 134–135.</w:t>
      </w:r>
    </w:p>
  </w:footnote>
  <w:footnote w:id="18">
    <w:p>
      <w:pPr>
        <w:spacing w:after="120"/>
      </w:pPr>
      <w:r>
        <w:rPr>
          <w:rStyle w:val="FootnoteReference"/>
        </w:rPr>
        <w:footnoteRef/>
      </w:r>
      <w:r>
        <w:rPr>
          <w:rFonts w:ascii="Times New Roman" w:cs="Times New Roman" w:eastAsia="Times New Roman" w:hAnsi="Times New Roman"/>
          <w:sz w:val="20"/>
          <w:szCs w:val="20"/>
        </w:rPr>
        <w:t xml:space="preserve">Parisian institutions consulting registers: Registres du Parlement de Paris, Archives Nationales, X1A 1481, fols. 98r–99v.</w:t>
      </w:r>
    </w:p>
  </w:footnote>
  <w:footnote w:id="19">
    <w:p>
      <w:pPr>
        <w:spacing w:after="120"/>
      </w:pPr>
      <w:r>
        <w:rPr>
          <w:rStyle w:val="FootnoteReference"/>
        </w:rPr>
        <w:footnoteRef/>
      </w:r>
      <w:r>
        <w:rPr>
          <w:rFonts w:ascii="Times New Roman" w:cs="Times New Roman" w:eastAsia="Times New Roman" w:hAnsi="Times New Roman"/>
          <w:sz w:val="20"/>
          <w:szCs w:val="20"/>
        </w:rPr>
        <w:t xml:space="preserve">Philip the Good's absence: Monstrelet, Chronique, ed. L. Douët d'Arcq, 6 vols. (Paris, 1857–62), vol. v, pp. 1–3.</w:t>
      </w:r>
    </w:p>
  </w:footnote>
  <w:footnote w:id="20">
    <w:p>
      <w:pPr>
        <w:spacing w:after="120"/>
      </w:pPr>
      <w:r>
        <w:rPr>
          <w:rStyle w:val="FootnoteReference"/>
        </w:rPr>
        <w:footnoteRef/>
      </w:r>
      <w:r>
        <w:rPr>
          <w:rFonts w:ascii="Times New Roman" w:cs="Times New Roman" w:eastAsia="Times New Roman" w:hAnsi="Times New Roman"/>
          <w:sz w:val="20"/>
          <w:szCs w:val="20"/>
        </w:rPr>
        <w:t xml:space="preserve">Henry's entry on 2 December: Tuetey (ed.), Journal d'un Bourgeois, pp. 270–271.</w:t>
      </w:r>
    </w:p>
  </w:footnote>
  <w:footnote w:id="21">
    <w:p>
      <w:pPr>
        <w:spacing w:after="120"/>
      </w:pPr>
      <w:r>
        <w:rPr>
          <w:rStyle w:val="FootnoteReference"/>
        </w:rPr>
        <w:footnoteRef/>
      </w:r>
      <w:r>
        <w:rPr>
          <w:rFonts w:ascii="Times New Roman" w:cs="Times New Roman" w:eastAsia="Times New Roman" w:hAnsi="Times New Roman"/>
          <w:sz w:val="20"/>
          <w:szCs w:val="20"/>
        </w:rPr>
        <w:t xml:space="preserve">Entry tableaux: Lawrence Bryant, The King and the City in the Parisian Royal Entry Ceremony (Geneva, 1986), pp. 67–70.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2026-05-17T13:06:40.862Z</dcterms:created>
  <dcterms:modified xsi:type="dcterms:W3CDTF">2026-05-17T13:06:40.880Z</dcterms:modified>
</cp:coreProperties>
</file>

<file path=docProps/custom.xml><?xml version="1.0" encoding="utf-8"?>
<Properties xmlns="http://schemas.openxmlformats.org/officeDocument/2006/custom-properties" xmlns:vt="http://schemas.openxmlformats.org/officeDocument/2006/docPropsVTypes"/>
</file>