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FA1C" w14:textId="77777777" w:rsidR="00AC1632" w:rsidRDefault="00000000">
      <w:pPr>
        <w:pStyle w:val="Title"/>
      </w:pPr>
      <w:r>
        <w:t>America's Yen Rescue Is Treating the Symptom Not the Cause</w:t>
      </w:r>
    </w:p>
    <w:p w14:paraId="3596F504" w14:textId="77777777" w:rsidR="00AC1632" w:rsidRDefault="00000000">
      <w:pPr>
        <w:pStyle w:val="Deck"/>
      </w:pPr>
      <w:r>
        <w:t>The yen was once principally a yield-differential trade. Its recent weakness suggests that investors have started to demand compensation for a different risk: the possibility that Japan's fiscal and monetary constraints are becoming inseparable.</w:t>
      </w:r>
    </w:p>
    <w:p w14:paraId="7B426335" w14:textId="28EB357E" w:rsidR="00AC1632" w:rsidRPr="000A6D2C" w:rsidRDefault="00000000">
      <w:pPr>
        <w:rPr>
          <w:rFonts w:eastAsia="SimSun" w:hint="eastAsia"/>
          <w:lang w:val="en-GB" w:eastAsia="zh-CN"/>
        </w:rPr>
      </w:pPr>
      <w:r>
        <w:t xml:space="preserve">For much of the past few years, the weakness of the Japanese yen was relatively easy to explain. Interest rates in the United States were substantially higher than those in Japan. </w:t>
      </w:r>
      <w:r w:rsidR="000A6D2C" w:rsidRPr="000A6D2C">
        <w:rPr>
          <w:lang w:val="en-GB"/>
        </w:rPr>
        <w:t xml:space="preserve">This is the basic structure of the yen-funded carry trade: investors borrow yen at a low funding cost, convert the proceeds into dollars and invest in higher-yielding US assets. </w:t>
      </w:r>
      <w:r w:rsidR="000A6D2C" w:rsidRPr="000A6D2C">
        <w:t xml:space="preserve">The transaction creates persistent selling pressure on the yen and demand for the dollar, meaning that a widening US–Japan yield differential would ordinarily be accompanied by yen depreciation. </w:t>
      </w:r>
    </w:p>
    <w:p w14:paraId="3CE4D068" w14:textId="77777777" w:rsidR="00AC1632" w:rsidRDefault="00000000">
      <w:r>
        <w:t>This relationship has become considerably less reliable.</w:t>
      </w:r>
    </w:p>
    <w:p w14:paraId="311BEBD7" w14:textId="77777777" w:rsidR="00AC1632" w:rsidRDefault="00000000">
      <w:r>
        <w:t>Since the middle of 2025, the US-Japan ten-year yield differential has narrowed by more than 100 basis points. Under the conventional interest-rate explanation, such a narrowing should have produced an appreciation of the yen. Instead, the currency continued to depreciate. The International Monetary Fund finds that a large proportion of the movement can no longer be accounted for by yield differentials, global risk aversion or oil prices. The yen has also become less responsive to changes in relative term premia.</w:t>
      </w:r>
    </w:p>
    <w:p w14:paraId="17336A94" w14:textId="77777777" w:rsidR="00AC1632" w:rsidRDefault="00000000">
      <w:r>
        <w:t>This divergence is important because it suggests that the market is no longer merely pricing the return available from holding dollars rather than yen. It may increasingly be pricing the risk attached to holding the yen itself.</w:t>
      </w:r>
    </w:p>
    <w:p w14:paraId="2A8C7095" w14:textId="77777777" w:rsidR="00AC1632" w:rsidRDefault="00000000">
      <w:pPr>
        <w:pStyle w:val="Heading1"/>
      </w:pPr>
      <w:r>
        <w:t>Figure 1  The yen has separated from the rate differential</w:t>
      </w:r>
    </w:p>
    <w:p w14:paraId="68C7BC2C" w14:textId="77777777" w:rsidR="00AC1632" w:rsidRDefault="00000000">
      <w:pPr>
        <w:pStyle w:val="Figurenote"/>
      </w:pPr>
      <w:r>
        <w:t>Chart to be inserted: plot USD/JPY on the left axis and the US ten-year Treasury yield minus the Japanese ten-year government-bond yield on the right axis, from January 2022 to September 2026. A higher USD/JPY represents a weaker yen. Both series should generally move in the same direction until mid-2025; thereafter, the yield differential narrows while USD/JPY continues to rise. Mark 31 July 2026 as the date of coordinated US-Japan intervention. Sources: Federal Reserve, Bank of Japan and IMF.</w:t>
      </w:r>
    </w:p>
    <w:p w14:paraId="518ADF17" w14:textId="77777777" w:rsidR="00AC1632" w:rsidRDefault="00000000">
      <w:pPr>
        <w:pStyle w:val="Heading1"/>
      </w:pPr>
      <w:r>
        <w:t>From the carry trade to the Takaichi trade</w:t>
      </w:r>
    </w:p>
    <w:p w14:paraId="579D5FE7" w14:textId="77777777" w:rsidR="00AC1632" w:rsidRDefault="00000000">
      <w:pPr/>
      <w:r>
        <w:t>The Takaichi trade has traditionally consisted of three positions: short the yen, short Japanese government bonds and long Japanese equities. The combination represents a market bet that fiscal expansion and continued monetary accommodation will raise nominal growth and corporate earnings, while placing downward pressure on the currency and upward pressure on government-bond yields.</w:t>
      </w:r>
    </w:p>
    <w:p>
      <w:pPr/>
      <w:r>
        <w:t>Initially, this could be interpreted as a conventional reflation trade. Its recent evolution, however, has become less comfortable. When government bonds and the currency sell off simultaneously, the market may no longer be pricing stronger nominal growth alone; it may also be carrying out a reassessment of the credibility of the policy regime.</w:t>
      </w:r>
    </w:p>
    <w:p w14:paraId="4B7505FF" w14:textId="77777777" w:rsidR="00AC1632" w:rsidRDefault="00000000">
      <w:r>
        <w:t>Prime Minister Sanae Takaichi has associated her administration with proactive fiscal policy, including greater public expenditure and proposed tax reductions. At the same time, the government has appeared reluctant to accept a rapid tightening of monetary policy by the Bank of Japan. In isolation, either position might be defensible. In combination, however, they leave the market with an uncomfortable policy mix: fiscal policy supports demand, monetary policy remains comparatively accommodative, inflation stays above the Bank's target and the outstanding stock of public debt is already exceptionally large.</w:t>
      </w:r>
    </w:p>
    <w:p w14:paraId="6373E2BF" w14:textId="77777777" w:rsidR="00AC1632" w:rsidRDefault="00000000">
      <w:r>
        <w:lastRenderedPageBreak/>
        <w:t>The comparison with Liz Truss is therefore understandable. The 2022 UK episode also involved the announcement of fiscal expansion without a sufficiently credible explanation of how it would be financed. Sterling and gilts subsequently sold off together, forcing a rapid reversal of policy.</w:t>
      </w:r>
    </w:p>
    <w:p w14:paraId="6FCEB4CB" w14:textId="77777777" w:rsidR="00AC1632" w:rsidRDefault="00000000">
      <w:r>
        <w:t>Japan has recently displayed part of the same market pattern: government-bond yields have risen while the currency has weakened. Ordinarily, a rise in Japanese yields should make yen assets more attractive. When both bonds and the currency decline, the market may instead be carrying out a reassessment of the policy framework itself.</w:t>
      </w:r>
    </w:p>
    <w:p w14:paraId="67FAAFCD" w14:textId="77777777" w:rsidR="00AC1632" w:rsidRDefault="00000000">
      <w:r>
        <w:t>Nevertheless, describing the episode as a Japanese Truss moment would be an overstatement. Japan borrows in its own currency, maintains a large domestic investor base and possesses substantial foreign assets. The Bank of Japan also has much greater practical influence over the domestic government-bond market than the Bank of England had over gilts during the Truss episode. This makes an immediate funding crisis considerably less likely.</w:t>
      </w:r>
    </w:p>
    <w:p w14:paraId="17374695" w14:textId="77777777" w:rsidR="00AC1632" w:rsidRDefault="00000000">
      <w:r>
        <w:t>The similarity lies not in an equivalent probability of default, but in the deterioration of policy credibility. Investors are asking whether the central bank will be permitted to tighten sufficiently when doing so would raise the government's interest bill and place additional pressure on the fiscal position.</w:t>
      </w:r>
    </w:p>
    <w:p w14:paraId="3E9B8650" w14:textId="77777777" w:rsidR="00AC1632" w:rsidRDefault="00000000">
      <w:r>
        <w:t>Put more simply, the concern is that Japan may eventually have to choose between protecting the purchasing power of the yen and keeping government financing costs manageable.</w:t>
      </w:r>
    </w:p>
    <w:p w14:paraId="6F7C9023" w14:textId="77777777" w:rsidR="00AC1632" w:rsidRDefault="00000000">
      <w:pPr>
        <w:pStyle w:val="Heading1"/>
      </w:pPr>
      <w:r>
        <w:t>Is this debasement risk measurable</w:t>
      </w:r>
    </w:p>
    <w:p w14:paraId="18B29032" w14:textId="77777777" w:rsidR="00AC1632" w:rsidRDefault="00000000">
      <w:r>
        <w:t>There is no single market ticker for debasement risk. It has to be inferred from several prices.</w:t>
      </w:r>
    </w:p>
    <w:p w14:paraId="15527CD9" w14:textId="77777777" w:rsidR="00AC1632" w:rsidRDefault="00000000">
      <w:r>
        <w:t>The 2s10s spread - the difference between ten-year and two-year government-bond yields - is the more commonly used measure of the yield-curve slope. It is useful because the two-year yield contains a relatively strong representation of expected central-bank policy, while the ten-year yield additionally incorporates longer-term growth, inflation and term-premium expectations.</w:t>
      </w:r>
    </w:p>
    <w:p w14:paraId="188C4A88" w14:textId="77777777" w:rsidR="00AC1632" w:rsidRDefault="00000000">
      <w:r>
        <w:t>For Japan, however, neither 1s10s nor 2s10s should be interpreted as a pure fiscal-risk indicator. Both can steepen because investors expect stronger growth, higher inflation, additional Bank of Japan rate increases or greater bond supply. The Bank of Japan itself has discussed the ten-year yield minus the policy rate as a measure of the term spread.</w:t>
      </w:r>
    </w:p>
    <w:p w14:paraId="5913F1A3" w14:textId="77777777" w:rsidR="00AC1632" w:rsidRDefault="00000000">
      <w:r>
        <w:t>If the purpose is specifically to monitor a deterioration in confidence, I would use a small dashboard rather than one spread:</w:t>
      </w:r>
    </w:p>
    <w:p w14:paraId="6D29D6D3" w14:textId="77777777" w:rsidR="00AC1632" w:rsidRDefault="00000000">
      <w:pPr>
        <w:pStyle w:val="ListBullet"/>
      </w:pPr>
      <w:r>
        <w:t>2s10s JGB spread: the standard measure of the curve between near-term policy expectations and longer-term risk.</w:t>
      </w:r>
    </w:p>
    <w:p w14:paraId="792349F8" w14:textId="77777777" w:rsidR="00AC1632" w:rsidRDefault="00000000">
      <w:pPr>
        <w:pStyle w:val="ListBullet"/>
      </w:pPr>
      <w:r>
        <w:t>10s30s or 10s40s JGB spread: potentially more revealing for fiscal concerns, since Japan's debt-supply and duration risk are concentrated further along the curve.</w:t>
      </w:r>
    </w:p>
    <w:p w14:paraId="59D9AFE5" w14:textId="77777777" w:rsidR="00AC1632" w:rsidRDefault="00000000">
      <w:pPr>
        <w:pStyle w:val="ListBullet"/>
      </w:pPr>
      <w:r>
        <w:t>Japanese break-even inflation: an indication of whether investors are demanding compensation for a sustained loss of purchasing power.</w:t>
      </w:r>
    </w:p>
    <w:p w14:paraId="0F3DC753" w14:textId="77777777" w:rsidR="00AC1632" w:rsidRDefault="00000000">
      <w:pPr>
        <w:pStyle w:val="ListBullet"/>
      </w:pPr>
      <w:r>
        <w:t>USD/JPY relative to the US-Japan yield differential: the residual, or the part of currency weakness that interest rates no longer explain.</w:t>
      </w:r>
    </w:p>
    <w:p w14:paraId="50147A8B" w14:textId="77777777" w:rsidR="00AC1632" w:rsidRDefault="00000000">
      <w:pPr>
        <w:pStyle w:val="ListBullet"/>
      </w:pPr>
      <w:r>
        <w:t>Cross-currency basis and sovereign CDS: useful secondary checks for funding stress and credit-risk perception, although neither is a clean measure of currency debasement.</w:t>
      </w:r>
    </w:p>
    <w:p w14:paraId="3CADF399" w14:textId="77777777" w:rsidR="00AC1632" w:rsidRDefault="00000000">
      <w:r>
        <w:lastRenderedPageBreak/>
        <w:t>Among 1s10s and 2s10s, I would therefore select 2s10s because it is more widely recognised and easier to compare across countries. However, for the argument made in this note, 10s30s together with the unexplained component of USD/JPY may provide a more direct indication of fiscal-dominance or debasement concerns.</w:t>
      </w:r>
    </w:p>
    <w:p w14:paraId="78670AE5" w14:textId="77777777" w:rsidR="00AC1632" w:rsidRDefault="00000000">
      <w:r>
        <w:t>The important signal is not simply that Japanese yields are rising. It is that long-dated yields are rising without delivering the currency appreciation that higher domestic yields would normally generate.</w:t>
      </w:r>
    </w:p>
    <w:p w14:paraId="2419FCFD" w14:textId="77777777" w:rsidR="00AC1632" w:rsidRDefault="00000000">
      <w:pPr>
        <w:pStyle w:val="Heading1"/>
      </w:pPr>
      <w:r>
        <w:t>Why did the United States intervene</w:t>
      </w:r>
    </w:p>
    <w:p w14:paraId="140B2AE3" w14:textId="77777777" w:rsidR="00AC1632" w:rsidRDefault="00000000">
      <w:r>
        <w:t>On 31 July, Japan purchased yen in coordination with the US Treasury. This was the first coordinated US-Japan intervention to strengthen the yen since 1998. Japan stated that the operation was undertaken to counter excessive volatility and disorderly currency movements, and indicated that further joint intervention remained possible. It also announced an intention to make future use of the Federal Reserve's FIMA Repo Facility.</w:t>
      </w:r>
    </w:p>
    <w:p w14:paraId="0B790A0E" w14:textId="77777777" w:rsidR="00AC1632" w:rsidRDefault="00000000">
      <w:r>
        <w:t>The direct objective was straightforward: both authorities bought yen in order to increase demand for the currency and interrupt the one-way speculative trade against it.</w:t>
      </w:r>
    </w:p>
    <w:p w14:paraId="3D83686B" w14:textId="77777777" w:rsidR="00AC1632" w:rsidRDefault="00000000">
      <w:r>
        <w:t>The American motivation was broader than helping Japanese households pay less for imported food and energy.</w:t>
      </w:r>
    </w:p>
    <w:p w14:paraId="7549A696" w14:textId="77777777" w:rsidR="00AC1632" w:rsidRDefault="00000000">
      <w:r>
        <w:t>Japan normally obtains dollars for intervention by selling foreign-currency assets. Since Japan remains one of the largest foreign holders of US government debt, a prolonged defence of the yen could require substantial liquidation of Treasuries. This would arrive at an inconvenient moment for the United States, when longer-term Treasury yields are already elevated and the government has a large financing requirement. The US therefore has an interest in preventing a currency problem from turning into additional selling pressure in its own bond market.</w:t>
      </w:r>
    </w:p>
    <w:p w14:paraId="2588C0E7" w14:textId="77777777" w:rsidR="00AC1632" w:rsidRDefault="00000000">
      <w:r>
        <w:t>There is also a regional consideration. A severely undervalued yen places pressure on other Asian economies to tolerate weaker currencies in order to maintain export competitiveness. What begins as a Japanese adjustment could therefore develop into a wider sequence of competitive depreciation and financial instability.</w:t>
      </w:r>
    </w:p>
    <w:p w14:paraId="0A5D33DD" w14:textId="77777777" w:rsidR="00AC1632" w:rsidRDefault="00000000">
      <w:r>
        <w:t>US participation served an additional signalling function. Japan acting alone would represent one authority trading against a very large global foreign-exchange market. Joint action tells investors that the exchange rate has become a shared policy concern. Historically, coordinated interventions have tended to be more effective than isolated operations, particularly when they are consistent with the subsequent direction of monetary policy.</w:t>
      </w:r>
    </w:p>
    <w:p w14:paraId="349B65E0" w14:textId="77777777" w:rsidR="00AC1632" w:rsidRDefault="00000000">
      <w:pPr>
        <w:pStyle w:val="Heading1"/>
      </w:pPr>
      <w:r>
        <w:t>How did the intervention work</w:t>
      </w:r>
    </w:p>
    <w:p w14:paraId="48A00BE1" w14:textId="77777777" w:rsidR="00AC1632" w:rsidRDefault="00000000">
      <w:r>
        <w:t>Japan sold foreign-currency assets, principally dollars, and used the proceeds to purchase yen. The US Treasury, acting through the New York Federal Reserve, reportedly took the unusual step of selling euros from its reserves and purchasing yen. The use of euros allowed the United States to support the yen without directly selling dollars. The New York Fed normally conducts such transactions for the Treasury's Exchange Stabilization Fund in its capacity as fiscal agent.</w:t>
      </w:r>
    </w:p>
    <w:p w14:paraId="3EF497D9" w14:textId="77777777" w:rsidR="00AC1632" w:rsidRDefault="00000000">
      <w:r>
        <w:lastRenderedPageBreak/>
        <w:t>Japan's intervention since the end of July reached approximately JPY15.4 trillion. The initial market reaction was substantial: USD/JPY declined from around 163 before the intervention to approximately 155, representing an appreciation of about 5% in the yen.</w:t>
      </w:r>
    </w:p>
    <w:p w14:paraId="487222E5" w14:textId="77777777" w:rsidR="00AC1632" w:rsidRDefault="00000000">
      <w:r>
        <w:t>However, this was mainly a change in the price of the yen, not yet a change in the policies determining its value.</w:t>
      </w:r>
    </w:p>
    <w:p w14:paraId="5DB17478" w14:textId="77777777" w:rsidR="00AC1632" w:rsidRDefault="00000000">
      <w:pPr>
        <w:pStyle w:val="Heading1"/>
      </w:pPr>
      <w:r>
        <w:t>Did it last</w:t>
      </w:r>
    </w:p>
    <w:p w14:paraId="7BCE1228" w14:textId="77777777" w:rsidR="00AC1632" w:rsidRDefault="00000000">
      <w:r>
        <w:t>Only partly.</w:t>
      </w:r>
    </w:p>
    <w:p w14:paraId="2B9B7E52" w14:textId="77777777" w:rsidR="00AC1632" w:rsidRDefault="00000000">
      <w:r>
        <w:t>By the end of August, USD/JPY had returned to around 160, reversing more than half of the appreciation generated by the intervention. The yen subsequently strengthened again to around 156 in early September, although this later move appears to have reflected a reassessment of the probability of Bank of Japan rate increases rather than confirmed additional intervention.</w:t>
      </w:r>
    </w:p>
    <w:p w14:paraId="0749D7F3" w14:textId="77777777" w:rsidR="00AC1632" w:rsidRDefault="00000000">
      <w:r>
        <w:t>The operation therefore succeeded in stopping an accelerating sell-off and demonstrating that the 163-164 area would not be treated with indifference. It did not establish a durable reversal in the currency.</w:t>
      </w:r>
    </w:p>
    <w:p w14:paraId="36EE35AF" w14:textId="77777777" w:rsidR="00AC1632" w:rsidRDefault="00000000">
      <w:r>
        <w:t>That distinction matters. An intervention can remove speculative positions, create uncertainty for short sellers and buy time for policymakers. It cannot permanently offset a fiscal and monetary configuration that continues to produce yen supply.</w:t>
      </w:r>
    </w:p>
    <w:p w14:paraId="6B8E3B16" w14:textId="77777777" w:rsidR="00AC1632" w:rsidRDefault="00000000">
      <w:pPr>
        <w:pStyle w:val="Heading1"/>
      </w:pPr>
      <w:r>
        <w:t>What does the result tell us</w:t>
      </w:r>
    </w:p>
    <w:p w14:paraId="4A7DA3E4" w14:textId="77777777" w:rsidR="00AC1632" w:rsidRDefault="00000000">
      <w:r>
        <w:t>The limited persistence of the intervention does not necessarily mean that it failed. If the purpose was to break disorderly momentum, reduce immediate financial-stability risk and communicate a policy boundary, the operation achieved part of its objective.</w:t>
      </w:r>
    </w:p>
    <w:p w14:paraId="5105470E" w14:textId="77777777" w:rsidR="00AC1632" w:rsidRDefault="00000000">
      <w:r>
        <w:t>Nevertheless, the return of USD/JPY towards 160 indicates that official purchases have not removed the underlying source of the pressure. The market is asking for evidence that fiscal expansion will remain bounded, that the Bank of Japan retains sufficient independence to control inflation and that higher Japanese yields will represent a genuine increase in real returns rather than compensation for greater inflation and fiscal risk.</w:t>
      </w:r>
    </w:p>
    <w:p w14:paraId="5283CD22" w14:textId="77777777" w:rsidR="00AC1632" w:rsidRDefault="00000000">
      <w:r>
        <w:t>This is why the US operation should be interpreted as the purchase of time rather than the purchase of a permanently stronger yen.</w:t>
      </w:r>
    </w:p>
    <w:p w14:paraId="25618485" w14:textId="77777777" w:rsidR="00AC1632" w:rsidRDefault="00000000">
      <w:r>
        <w:t>If the additional time is accompanied by Bank of Japan tightening, improved fiscal communication and a stabilisation of long-term JGB supply, the intervention may eventually be regarded as the moment at which the one-way trade was broken. If policy remains unchanged, repeated intervention will instead demonstrate how difficult it is for official balance sheets to defend a currency against doubts about the policy regime itself.</w:t>
      </w:r>
    </w:p>
    <w:p w14:paraId="29259CC3" w14:textId="77777777" w:rsidR="00AC1632" w:rsidRDefault="00000000">
      <w:r>
        <w:t>The yen was previously weak because Japanese money earned too little. The more serious interpretation of its present weakness is that investors have started to question what Japanese money will ultimately be worth.</w:t>
      </w:r>
    </w:p>
    <w:p w14:paraId="22FBB265" w14:textId="77777777" w:rsidR="00AC1632" w:rsidRDefault="00000000">
      <w:pPr>
        <w:pStyle w:val="Heading1"/>
      </w:pPr>
      <w:r>
        <w:lastRenderedPageBreak/>
        <w:t>Sources</w:t>
      </w:r>
    </w:p>
    <w:p w14:paraId="2CF78018" w14:textId="77777777" w:rsidR="00AC1632" w:rsidRDefault="00000000">
      <w:pPr>
        <w:pStyle w:val="ListBullet"/>
      </w:pPr>
      <w:hyperlink r:id="rId8">
        <w:r>
          <w:rPr>
            <w:color w:val="1F4E79"/>
            <w:u w:val="single"/>
          </w:rPr>
          <w:t>International Monetary Fund, Japan 2026 Article IV Consultation</w:t>
        </w:r>
      </w:hyperlink>
    </w:p>
    <w:p w14:paraId="2DF9E36C" w14:textId="77777777" w:rsidR="00AC1632" w:rsidRDefault="00000000">
      <w:pPr>
        <w:pStyle w:val="ListBullet"/>
      </w:pPr>
      <w:hyperlink r:id="rId9">
        <w:r>
          <w:rPr>
            <w:color w:val="1F4E79"/>
            <w:u w:val="single"/>
          </w:rPr>
          <w:t>Japanese Ministry of Finance, Statement by Finance Minister Satsuki Katayama, 3 August 2026</w:t>
        </w:r>
      </w:hyperlink>
    </w:p>
    <w:p w14:paraId="669683BE" w14:textId="77777777" w:rsidR="00AC1632" w:rsidRDefault="00000000">
      <w:pPr>
        <w:pStyle w:val="ListBullet"/>
      </w:pPr>
      <w:hyperlink r:id="rId10">
        <w:r>
          <w:rPr>
            <w:color w:val="1F4E79"/>
            <w:u w:val="single"/>
          </w:rPr>
          <w:t>Bank of Japan, Economic Activity Prices and Monetary Policy in Japan, 26 February 2026</w:t>
        </w:r>
      </w:hyperlink>
    </w:p>
    <w:p w14:paraId="3749043D" w14:textId="77777777" w:rsidR="00AC1632" w:rsidRDefault="00000000">
      <w:pPr>
        <w:pStyle w:val="ListBullet"/>
      </w:pPr>
      <w:hyperlink r:id="rId11">
        <w:r>
          <w:rPr>
            <w:color w:val="1F4E79"/>
            <w:u w:val="single"/>
          </w:rPr>
          <w:t>Federal Reserve Bank of New York, Foreign Exchange Operations</w:t>
        </w:r>
      </w:hyperlink>
    </w:p>
    <w:p w14:paraId="07346770" w14:textId="77777777" w:rsidR="00AC1632" w:rsidRDefault="00000000">
      <w:pPr>
        <w:pStyle w:val="ListBullet"/>
      </w:pPr>
      <w:hyperlink r:id="rId12">
        <w:r>
          <w:rPr>
            <w:color w:val="1F4E79"/>
            <w:u w:val="single"/>
          </w:rPr>
          <w:t>MUFG Research, JPY Monthly September 2026</w:t>
        </w:r>
      </w:hyperlink>
    </w:p>
    <w:sectPr w:rsidR="00AC1632" w:rsidSect="00034616">
      <w:footerReference w:type="default" r:id="rId13"/>
      <w:pgSz w:w="12240" w:h="15840"/>
      <w:pgMar w:top="1123" w:right="1325" w:bottom="1037" w:left="132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6954" w14:textId="77777777" w:rsidR="006E763C" w:rsidRDefault="006E763C">
      <w:pPr>
        <w:spacing w:after="0" w:line="240" w:lineRule="auto"/>
      </w:pPr>
      <w:r>
        <w:separator/>
      </w:r>
    </w:p>
  </w:endnote>
  <w:endnote w:type="continuationSeparator" w:id="0">
    <w:p w14:paraId="059362ED" w14:textId="77777777" w:rsidR="006E763C" w:rsidRDefault="006E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5C15F" w14:textId="77777777" w:rsidR="00AC1632" w:rsidRDefault="00000000">
    <w:pPr>
      <w:pStyle w:val="Footer"/>
      <w:jc w:val="center"/>
    </w:pPr>
    <w:r>
      <w:rPr>
        <w:color w:val="69707C"/>
        <w:sz w:val="16"/>
      </w:rPr>
      <w:t>Draft for discussion  |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137B" w14:textId="77777777" w:rsidR="006E763C" w:rsidRDefault="006E763C">
      <w:pPr>
        <w:spacing w:after="0" w:line="240" w:lineRule="auto"/>
      </w:pPr>
      <w:r>
        <w:separator/>
      </w:r>
    </w:p>
  </w:footnote>
  <w:footnote w:type="continuationSeparator" w:id="0">
    <w:p w14:paraId="56F36C4E" w14:textId="77777777" w:rsidR="006E763C" w:rsidRDefault="006E7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687774">
    <w:abstractNumId w:val="8"/>
  </w:num>
  <w:num w:numId="2" w16cid:durableId="1489056377">
    <w:abstractNumId w:val="6"/>
  </w:num>
  <w:num w:numId="3" w16cid:durableId="2081437506">
    <w:abstractNumId w:val="5"/>
  </w:num>
  <w:num w:numId="4" w16cid:durableId="1933469574">
    <w:abstractNumId w:val="4"/>
  </w:num>
  <w:num w:numId="5" w16cid:durableId="1409578125">
    <w:abstractNumId w:val="7"/>
  </w:num>
  <w:num w:numId="6" w16cid:durableId="658505955">
    <w:abstractNumId w:val="3"/>
  </w:num>
  <w:num w:numId="7" w16cid:durableId="323509532">
    <w:abstractNumId w:val="2"/>
  </w:num>
  <w:num w:numId="8" w16cid:durableId="832137380">
    <w:abstractNumId w:val="1"/>
  </w:num>
  <w:num w:numId="9" w16cid:durableId="4410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2C"/>
    <w:rsid w:val="0015074B"/>
    <w:rsid w:val="0029639D"/>
    <w:rsid w:val="00326F90"/>
    <w:rsid w:val="006E763C"/>
    <w:rsid w:val="007C3C24"/>
    <w:rsid w:val="00AA1D8D"/>
    <w:rsid w:val="00AC163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A3863"/>
  <w14:defaultImageDpi w14:val="300"/>
  <w15:docId w15:val="{D9AF0B9A-11D8-4A04-B364-CD5E6E48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2" w:lineRule="auto"/>
    </w:pPr>
    <w:rPr>
      <w:rFonts w:ascii="Aptos" w:hAnsi="Aptos"/>
      <w:color w:val="202733"/>
      <w:sz w:val="20"/>
    </w:rPr>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80"/>
    </w:pPr>
    <w:rPr>
      <w:rFonts w:ascii="Aptos" w:hAnsi="Aptos"/>
      <w:i/>
      <w:color w:val="48505E"/>
      <w:sz w:val="23"/>
    </w:rPr>
  </w:style>
  <w:style w:type="paragraph" w:customStyle="1" w:styleId="Figurenote">
    <w:name w:val="Figure note"/>
    <w:pPr>
      <w:spacing w:before="140"/>
      <w:ind w:left="403" w:right="403"/>
    </w:pPr>
    <w:rPr>
      <w:rFonts w:ascii="Aptos" w:hAnsi="Aptos"/>
      <w:i/>
      <w:color w:val="4B5360"/>
      <w:sz w:val="17"/>
    </w:rPr>
  </w:style>
  <w:style w:type="paragraph" w:styleId="NormalWeb">
    <w:name w:val="Normal (Web)"/>
    <w:basedOn w:val="Normal"/>
    <w:uiPriority w:val="99"/>
    <w:semiHidden/>
    <w:unhideWhenUsed/>
    <w:rsid w:val="000A6D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media/files/publications/cr/2026/english/1jpnea2026001.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ufgresearch.com/fx/jpy-monthly-september-202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yorkfed.org/markets/international-market-operations/foreign-exchange-operat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oj.or.jp/en/about/press/koen_2026/ko260226a.htm" TargetMode="External"/><Relationship Id="rId4" Type="http://schemas.openxmlformats.org/officeDocument/2006/relationships/settings" Target="settings.xml"/><Relationship Id="rId9" Type="http://schemas.openxmlformats.org/officeDocument/2006/relationships/hyperlink" Target="https://www.mof.go.jp/english/public_relations/statement/others/20260803073000.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America's Yen Rescue Is Treating the Symptom Not the Cause</dc:title>
  <dc:subject>Draft Market Note on the 2026 US Japan yen intervention</dc:subject>
  <dc:creator>Jiefu Zhang</dc:creator>
  <cp:keywords/>
  <dc:description>generated by python-docx</dc:description>
  <cp:lastModifiedBy>Jeff Zhang</cp:lastModifiedBy>
  <cp:revision>2</cp:revision>
  <dcterms:created xsi:type="dcterms:W3CDTF">2013-12-23T23:15:00Z</dcterms:created>
  <dcterms:modified xsi:type="dcterms:W3CDTF">2026-09-04T03:34:00Z</dcterms:modified>
  <cp:category/>
</cp:coreProperties>
</file>