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Project Recommendations</w:t>
      </w:r>
    </w:p>
    <w:p>
      <w:pPr>
        <w:pStyle w:val="Heading1"/>
      </w:pPr>
      <w:r>
        <w:t xml:space="preserve">Interactive Funding Qualifier</w:t>
      </w:r>
    </w:p>
    <w:p>
      <w:pPr>
        <w:spacing w:after="200"/>
      </w:pPr>
      <w:r>
        <w:rPr>
          <w:i/>
          <w:iCs/>
        </w:rPr>
        <w:t xml:space="preserve">A multi-step, conversion-optimized onboarding flow designed to collect business financial data, verify DC location status, and provide an instant eligibility score for various funding products.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qualifier.html</w:t>
      </w:r>
    </w:p>
    <w:p>
      <w:pPr>
        <w:pStyle w:val="ListParagraph"/>
        <w:numPr>
          <w:ilvl w:val="0"/>
          <w:numId w:val="1"/>
        </w:numPr>
      </w:pPr>
      <w:r>
        <w:t xml:space="preserve">qualifier-logic.js</w:t>
      </w:r>
    </w:p>
    <w:p>
      <w:pPr>
        <w:pStyle w:val="ListParagraph"/>
        <w:numPr>
          <w:ilvl w:val="0"/>
          <w:numId w:val="1"/>
        </w:numPr>
      </w:pPr>
      <w:r>
        <w:t xml:space="preserve">form-validator.js</w:t>
      </w:r>
    </w:p>
    <w:p>
      <w:pPr>
        <w:pStyle w:val="ListParagraph"/>
        <w:numPr>
          <w:ilvl w:val="0"/>
          <w:numId w:val="1"/>
        </w:numPr>
      </w:pPr>
      <w:r>
        <w:t xml:space="preserve">qualifier-styles.css</w:t>
      </w:r>
    </w:p>
    <w:p>
      <w:pPr>
        <w:pStyle w:val="ListParagraph"/>
        <w:numPr>
          <w:ilvl w:val="0"/>
          <w:numId w:val="1"/>
        </w:numPr>
      </w:pPr>
      <w:r>
        <w:t xml:space="preserve">progress-stepper.component.js</w:t>
      </w:r>
    </w:p>
    <w:p>
      <w:pPr>
        <w:spacing w:after="400"/>
      </w:pPr>
    </w:p>
    <w:p>
      <w:pPr>
        <w:pStyle w:val="Heading1"/>
      </w:pPr>
      <w:r>
        <w:t xml:space="preserve">Client Funding Dashboard</w:t>
      </w:r>
    </w:p>
    <w:p>
      <w:pPr>
        <w:spacing w:after="200"/>
      </w:pPr>
      <w:r>
        <w:rPr>
          <w:i/>
          <w:iCs/>
        </w:rPr>
        <w:t xml:space="preserve">A secure, post-login interface where business owners can track their application progress, upload sensitive documents like tax returns, and view real-time offers from lending partners.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dashboard.html</w:t>
      </w:r>
    </w:p>
    <w:p>
      <w:pPr>
        <w:pStyle w:val="ListParagraph"/>
        <w:numPr>
          <w:ilvl w:val="0"/>
          <w:numId w:val="1"/>
        </w:numPr>
      </w:pPr>
      <w:r>
        <w:t xml:space="preserve">document-vault.js</w:t>
      </w:r>
    </w:p>
    <w:p>
      <w:pPr>
        <w:pStyle w:val="ListParagraph"/>
        <w:numPr>
          <w:ilvl w:val="0"/>
          <w:numId w:val="1"/>
        </w:numPr>
      </w:pPr>
      <w:r>
        <w:t xml:space="preserve">offer-cards.component.html</w:t>
      </w:r>
    </w:p>
    <w:p>
      <w:pPr>
        <w:pStyle w:val="ListParagraph"/>
        <w:numPr>
          <w:ilvl w:val="0"/>
          <w:numId w:val="1"/>
        </w:numPr>
      </w:pPr>
      <w:r>
        <w:t xml:space="preserve">dashboard-layout.css</w:t>
      </w:r>
    </w:p>
    <w:p>
      <w:pPr>
        <w:pStyle w:val="ListParagraph"/>
        <w:numPr>
          <w:ilvl w:val="0"/>
          <w:numId w:val="1"/>
        </w:numPr>
      </w:pPr>
      <w:r>
        <w:t xml:space="preserve">api-handler.js</w:t>
      </w:r>
    </w:p>
    <w:p>
      <w:pPr>
        <w:spacing w:after="400"/>
      </w:pPr>
    </w:p>
    <w:p>
      <w:pPr>
        <w:pStyle w:val="Heading1"/>
      </w:pPr>
      <w:r>
        <w:t xml:space="preserve">DC Success Stories Gallery</w:t>
      </w:r>
    </w:p>
    <w:p>
      <w:pPr>
        <w:spacing w:after="200"/>
      </w:pPr>
      <w:r>
        <w:rPr>
          <w:i/>
          <w:iCs/>
        </w:rPr>
        <w:t xml:space="preserve">A high-conversion social proof page featuring video testimonials and data-driven case studies of specific Washington DC businesses—from Capitol Hill restaurants to NoMa startups—that successfully scaled using the platform.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case-studies.html</w:t>
      </w:r>
    </w:p>
    <w:p>
      <w:pPr>
        <w:pStyle w:val="ListParagraph"/>
        <w:numPr>
          <w:ilvl w:val="0"/>
          <w:numId w:val="1"/>
        </w:numPr>
      </w:pPr>
      <w:r>
        <w:t xml:space="preserve">video-player.js</w:t>
      </w:r>
    </w:p>
    <w:p>
      <w:pPr>
        <w:pStyle w:val="ListParagraph"/>
        <w:numPr>
          <w:ilvl w:val="0"/>
          <w:numId w:val="1"/>
        </w:numPr>
      </w:pPr>
      <w:r>
        <w:t xml:space="preserve">impact-metrics.json</w:t>
      </w:r>
    </w:p>
    <w:p>
      <w:pPr>
        <w:pStyle w:val="ListParagraph"/>
        <w:numPr>
          <w:ilvl w:val="0"/>
          <w:numId w:val="1"/>
        </w:numPr>
      </w:pPr>
      <w:r>
        <w:t xml:space="preserve">success-gallery.css</w:t>
      </w:r>
    </w:p>
    <w:p>
      <w:pPr>
        <w:pStyle w:val="ListParagraph"/>
        <w:numPr>
          <w:ilvl w:val="0"/>
          <w:numId w:val="1"/>
        </w:numPr>
      </w:pPr>
      <w:r>
        <w:t xml:space="preserve">testimonial-filter.js</w:t>
      </w:r>
    </w:p>
    <w:p>
      <w:pPr>
        <w:spacing w:after="400"/>
      </w:pPr>
    </w:p>
    <w:p>
      <w:pPr>
        <w:pStyle w:val="Heading1"/>
      </w:pPr>
      <w:r>
        <w:t xml:space="preserve">DC Capital Resource Center</w:t>
      </w:r>
    </w:p>
    <w:p>
      <w:pPr>
        <w:spacing w:after="200"/>
      </w:pPr>
      <w:r>
        <w:rPr>
          <w:i/>
          <w:iCs/>
        </w:rPr>
        <w:t xml:space="preserve">An SEO-heavy content hub providing deep dives into local DC tax incentives, neighborhood-specific grants, and financial management guides tailored for the District's unique regulatory environment.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resources-hub.html</w:t>
      </w:r>
    </w:p>
    <w:p>
      <w:pPr>
        <w:pStyle w:val="ListParagraph"/>
        <w:numPr>
          <w:ilvl w:val="0"/>
          <w:numId w:val="1"/>
        </w:numPr>
      </w:pPr>
      <w:r>
        <w:t xml:space="preserve">article-template.html</w:t>
      </w:r>
    </w:p>
    <w:p>
      <w:pPr>
        <w:pStyle w:val="ListParagraph"/>
        <w:numPr>
          <w:ilvl w:val="0"/>
          <w:numId w:val="1"/>
        </w:numPr>
      </w:pPr>
      <w:r>
        <w:t xml:space="preserve">search-index.js</w:t>
      </w:r>
    </w:p>
    <w:p>
      <w:pPr>
        <w:pStyle w:val="ListParagraph"/>
        <w:numPr>
          <w:ilvl w:val="0"/>
          <w:numId w:val="1"/>
        </w:numPr>
      </w:pPr>
      <w:r>
        <w:t xml:space="preserve">resource-cards.css</w:t>
      </w:r>
    </w:p>
    <w:p>
      <w:pPr>
        <w:pStyle w:val="ListParagraph"/>
        <w:numPr>
          <w:ilvl w:val="0"/>
          <w:numId w:val="1"/>
        </w:numPr>
      </w:pPr>
      <w:r>
        <w:t xml:space="preserve">category-navigation.js</w:t>
      </w:r>
    </w:p>
    <w:p>
      <w:pPr>
        <w:spacing w:after="400"/>
      </w:pPr>
    </w:p>
    <w:p>
      <w:pPr>
        <w:pStyle w:val="Heading1"/>
      </w:pPr>
      <w:r>
        <w:t xml:space="preserve">Partner Referral Portal</w:t>
      </w:r>
    </w:p>
    <w:p>
      <w:pPr>
        <w:spacing w:after="200"/>
      </w:pPr>
      <w:r>
        <w:rPr>
          <w:i/>
          <w:iCs/>
        </w:rPr>
        <w:t xml:space="preserve">A dedicated page for DC-based CPAs, attorneys, and consultants to register as partners, track their referred clients, and manage commission payouts for successful funding matches.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partners.html</w:t>
      </w:r>
    </w:p>
    <w:p>
      <w:pPr>
        <w:pStyle w:val="ListParagraph"/>
        <w:numPr>
          <w:ilvl w:val="0"/>
          <w:numId w:val="1"/>
        </w:numPr>
      </w:pPr>
      <w:r>
        <w:t xml:space="preserve">referral-dashboard.js</w:t>
      </w:r>
    </w:p>
    <w:p>
      <w:pPr>
        <w:pStyle w:val="ListParagraph"/>
        <w:numPr>
          <w:ilvl w:val="0"/>
          <w:numId w:val="1"/>
        </w:numPr>
      </w:pPr>
      <w:r>
        <w:t xml:space="preserve">payout-calculator.js</w:t>
      </w:r>
    </w:p>
    <w:p>
      <w:pPr>
        <w:pStyle w:val="ListParagraph"/>
        <w:numPr>
          <w:ilvl w:val="0"/>
          <w:numId w:val="1"/>
        </w:numPr>
      </w:pPr>
      <w:r>
        <w:t xml:space="preserve">partner-portal.css</w:t>
      </w:r>
    </w:p>
    <w:p>
      <w:pPr>
        <w:pStyle w:val="ListParagraph"/>
        <w:numPr>
          <w:ilvl w:val="0"/>
          <w:numId w:val="1"/>
        </w:numPr>
      </w:pPr>
      <w:r>
        <w:t xml:space="preserve">auth-middleware.js</w:t>
      </w:r>
    </w:p>
    <w:p>
      <w:pPr>
        <w:spacing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2026-05-09T06:42:18.844Z</dcterms:created>
  <dcterms:modified xsi:type="dcterms:W3CDTF">2026-05-09T06:42:18.844Z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