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Personara.ai Competitive Moat Plan</w:t>
      </w:r>
    </w:p>
    <w:p>
      <w:pPr>
        <w:jc w:val="center"/>
      </w:pPr>
      <w:r>
        <w:rPr>
          <w:i/>
          <w:sz w:val="20"/>
        </w:rPr>
        <w:t>Defensive strategy, build priorities, and To Do list based on adjacent platforms</w:t>
      </w:r>
    </w:p>
    <w:p/>
    <w:p>
      <w:r>
        <w:rPr>
          <w:b/>
          <w:sz w:val="26"/>
        </w:rPr>
        <w:t>1. Executive Summary</w:t>
      </w:r>
    </w:p>
    <w:p>
      <w:pPr/>
      <w:r>
        <w:t>Personara.ai does not face one single direct competitor. Instead, it sits at the intersection of three crowded but fragmented categories: strengths platforms, AI team-coaching tools, and AI career-guidance products.</w:t>
      </w:r>
    </w:p>
    <w:p>
      <w:pPr/>
      <w:r>
        <w:t>That creates opportunity and risk. The opportunity is that Personara.ai can define a new category around identity-to-action intelligence. The risk is that well-funded specialists can attack one slice at a time unless the platform builds switching costs, proprietary workflows, and distribution advantages quickly.</w:t>
      </w:r>
    </w:p>
    <w:p>
      <w:pPr/>
      <w:r>
        <w:t>The strongest near-term moat is not raw model capability. It is the combination of Gallup-grounded identity data, reusable workflow assets, persistent user memory across modules, and practitioner-led distribution.</w:t>
      </w:r>
    </w:p>
    <w:p>
      <w:r>
        <w:rPr>
          <w:b/>
          <w:sz w:val="26"/>
        </w:rPr>
        <w:t>2. Where Competitive Pressure Comes From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Competitor group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Representative platforms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What they do well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Why it matters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Gallup / strengths platforms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Gallup Access / CliftonStrengths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Trust, assessment legitimacy, team grids, practitioner familiarity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They own the strongest existing strengths brand and can look like the default safe choice.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AI team coaching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Cloverleaf, BetterUp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Workflow integration, team nudges, manager development, coaching language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They can win workplace budgets even if they do not own identity or family use cases.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Work personality platforms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Crystal, WorkStyle, TeamDynamics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Communication style, work preferences, easy adoption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They simplify collaboration quickly and may look easier to buy than a broader platform.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AI career products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Apt, Humantic AI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Career matching, talent intelligence, API distribution, recruiter relevance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They can capture candidate demand or sell into hiring stacks before Personara.ai is deeply embedded.</w:t>
            </w:r>
          </w:p>
        </w:tc>
      </w:tr>
    </w:tbl>
    <w:p/>
    <w:p>
      <w:r>
        <w:rPr>
          <w:b/>
          <w:sz w:val="26"/>
        </w:rPr>
        <w:t>3. Moat Thesis</w:t>
      </w:r>
    </w:p>
    <w:p>
      <w:pPr/>
      <w:r>
        <w:rPr>
          <w:b/>
        </w:rPr>
        <w:t xml:space="preserve">1. Own the identity graph: </w:t>
      </w:r>
      <w:r>
        <w:t>Make the user profile cumulative, not disposable. Store strengths, work style, goals, documents, prompts, outputs, team relationships, and coach history in one persistent object.</w:t>
      </w:r>
    </w:p>
    <w:p>
      <w:pPr/>
      <w:r>
        <w:rPr>
          <w:b/>
        </w:rPr>
        <w:t xml:space="preserve">2. Turn identity into repeatable action: </w:t>
      </w:r>
      <w:r>
        <w:t>A profile alone is easy to copy. A profile that powers role targeting, CV generation, interview prep, team playbooks, family coordination, and practitioner workflows is much harder to replace.</w:t>
      </w:r>
    </w:p>
    <w:p>
      <w:pPr/>
      <w:r>
        <w:rPr>
          <w:b/>
        </w:rPr>
        <w:t xml:space="preserve">3. Build channel leverage through practitioners: </w:t>
      </w:r>
      <w:r>
        <w:t>Gallup coaches, leadership facilitators, and advisers can become a force multiplier if they get client workspaces, templates, recurring programs, and branded outputs.</w:t>
      </w:r>
    </w:p>
    <w:p>
      <w:pPr/>
      <w:r>
        <w:rPr>
          <w:b/>
        </w:rPr>
        <w:t xml:space="preserve">4. Exploit the cross-context gap: </w:t>
      </w:r>
      <w:r>
        <w:t>Most competitors focus on work only. Personara.ai should deliberately span self, career, teams, and families so each module reinforces the others.</w:t>
      </w:r>
    </w:p>
    <w:p>
      <w:pPr/>
      <w:r>
        <w:rPr>
          <w:b/>
        </w:rPr>
        <w:t xml:space="preserve">5. Create retention through memory and proof: </w:t>
      </w:r>
      <w:r>
        <w:t>Users should feel that leaving the platform means losing accumulated insight, documents, team context, history, and measurable progress.</w:t>
      </w:r>
    </w:p>
    <w:p>
      <w:r>
        <w:rPr>
          <w:b/>
          <w:sz w:val="26"/>
        </w:rPr>
        <w:t>4. Priority To Do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E2F0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When</w:t>
            </w:r>
          </w:p>
        </w:tc>
        <w:tc>
          <w:tcPr>
            <w:tcW w:type="dxa" w:w="2045"/>
            <w:vAlign w:val="top"/>
            <w:shd w:fill="E2F0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Work item</w:t>
            </w:r>
          </w:p>
        </w:tc>
        <w:tc>
          <w:tcPr>
            <w:tcW w:type="dxa" w:w="2045"/>
            <w:vAlign w:val="top"/>
            <w:shd w:fill="E2F0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What to build</w:t>
            </w:r>
          </w:p>
        </w:tc>
        <w:tc>
          <w:tcPr>
            <w:tcW w:type="dxa" w:w="2045"/>
            <w:vAlign w:val="top"/>
            <w:shd w:fill="E2F0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Priority</w:t>
            </w:r>
          </w:p>
        </w:tc>
        <w:tc>
          <w:tcPr>
            <w:tcW w:type="dxa" w:w="2045"/>
            <w:vAlign w:val="top"/>
            <w:shd w:fill="E2F0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Owner lane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Define the canonical identity schema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Create one shared profile model used by Persona Foundry, Career Intelligence, and TeamSync.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Critical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Product + engineering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Ship reusable workflow templates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Package candidate, executive, team, boardroom, and family playbooks into guided flows.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Critical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Product + content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Create practitioner workspace model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Add coach dashboards, client lists, reusable templates, seat management, exports, and recurring review workflows.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Critical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Product + GTM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Instrument shared memory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Persist documents, generated outputs, scenario history, and recommendations across sessions.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Critical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Engineering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Build proof collection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Track conversion metrics, usage loops, and before/after outcomes for candidates and teams.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Analytics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Add trust controls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Role-based access, consent flags, workspace permissions, audit logs, and document governance.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Engineering + legal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Create comparison pages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Publish public comparison pages versus Gallup, Cloverleaf, Crystal, BetterUp, Apt, and Humantic AI.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Marketing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Launch professional pricing logic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Separate candidate, practitioner, and team plans with clear upgrade paths and workspace limits.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Commercial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Prioritize workflow integrations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Start with Google Workspace, Microsoft 365, calendar, email, and LinkedIn import/export surfaces.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Engineering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Later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Expose partner API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Only after internal schemas stabilize, release APIs for profile data, prompt packs, and workflow orchestration.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Platform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Later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Build benchmark library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Aggregate anonymized pattern insights by role type, team type, and scenario for stronger recommendations.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Data / research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Later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Create certification/community layer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Train practitioners to use the platform in recurring engagements and case-based programs.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Medium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Channel</w:t>
            </w:r>
          </w:p>
        </w:tc>
      </w:tr>
    </w:tbl>
    <w:p/>
    <w:p>
      <w:r>
        <w:rPr>
          <w:b/>
          <w:sz w:val="26"/>
        </w:rPr>
        <w:t>5. Suggested 30-60-90 Day Execution Plan</w:t>
      </w:r>
    </w:p>
    <w:p>
      <w:r>
        <w:rPr>
          <w:b/>
          <w:sz w:val="22"/>
        </w:rPr>
        <w:t>Days 1-30</w:t>
      </w:r>
    </w:p>
    <w:p>
      <w:pPr>
        <w:pStyle w:val="ListBullet"/>
      </w:pPr>
      <w:r>
        <w:t>Lock the shared profile schema and module data model.</w:t>
      </w:r>
    </w:p>
    <w:p>
      <w:pPr>
        <w:pStyle w:val="ListBullet"/>
      </w:pPr>
      <w:r>
        <w:t>Finalize the first pack of high-value guided workflows.</w:t>
      </w:r>
    </w:p>
    <w:p>
      <w:pPr>
        <w:pStyle w:val="ListBullet"/>
      </w:pPr>
      <w:r>
        <w:t>Define practitioner account structure and team workspace permissions.</w:t>
      </w:r>
    </w:p>
    <w:p>
      <w:pPr>
        <w:pStyle w:val="ListBullet"/>
      </w:pPr>
      <w:r>
        <w:t>Implement baseline event tracking and outcome metrics.</w:t>
      </w:r>
    </w:p>
    <w:p>
      <w:r>
        <w:rPr>
          <w:b/>
          <w:sz w:val="22"/>
        </w:rPr>
        <w:t>Days 31-60</w:t>
      </w:r>
    </w:p>
    <w:p>
      <w:pPr>
        <w:pStyle w:val="ListBullet"/>
      </w:pPr>
      <w:r>
        <w:t>Launch practitioner-ready exports, templates, and recurring review flows.</w:t>
      </w:r>
    </w:p>
    <w:p>
      <w:pPr>
        <w:pStyle w:val="ListBullet"/>
      </w:pPr>
      <w:r>
        <w:t>Publish comparison pages and category-positioning content.</w:t>
      </w:r>
    </w:p>
    <w:p>
      <w:pPr>
        <w:pStyle w:val="ListBullet"/>
      </w:pPr>
      <w:r>
        <w:t>Add trust controls and clearer commercial packaging.</w:t>
      </w:r>
    </w:p>
    <w:p>
      <w:pPr>
        <w:pStyle w:val="ListBullet"/>
      </w:pPr>
      <w:r>
        <w:t>Pilot with a small set of coaches or leadership advisers.</w:t>
      </w:r>
    </w:p>
    <w:p>
      <w:r>
        <w:rPr>
          <w:b/>
          <w:sz w:val="22"/>
        </w:rPr>
        <w:t>Days 61-90</w:t>
      </w:r>
    </w:p>
    <w:p>
      <w:pPr>
        <w:pStyle w:val="ListBullet"/>
      </w:pPr>
      <w:r>
        <w:t>Release shared memory across modules and team workspaces.</w:t>
      </w:r>
    </w:p>
    <w:p>
      <w:pPr>
        <w:pStyle w:val="ListBullet"/>
      </w:pPr>
      <w:r>
        <w:t>Connect priority workflow integrations that reduce manual effort.</w:t>
      </w:r>
    </w:p>
    <w:p>
      <w:pPr>
        <w:pStyle w:val="ListBullet"/>
      </w:pPr>
      <w:r>
        <w:t>Package case studies and benchmark proof from early users.</w:t>
      </w:r>
    </w:p>
    <w:p>
      <w:pPr>
        <w:pStyle w:val="ListBullet"/>
      </w:pPr>
      <w:r>
        <w:t>Refine pricing and onboarding based on conversion data.</w:t>
      </w:r>
    </w:p>
    <w:p>
      <w:r>
        <w:rPr>
          <w:b/>
          <w:sz w:val="26"/>
        </w:rPr>
        <w:t>6. Defensive Strategy: What Not to Do</w:t>
      </w:r>
    </w:p>
    <w:p>
      <w:pPr>
        <w:pStyle w:val="ListBullet"/>
      </w:pPr>
      <w:r>
        <w:t>Do not compete head-on with Gallup by trying to out-brand Gallup in raw assessment trust.</w:t>
      </w:r>
    </w:p>
    <w:p>
      <w:pPr>
        <w:pStyle w:val="ListBullet"/>
      </w:pPr>
      <w:r>
        <w:t>Do not lead with generic AI claims that every other vendor can copy by next quarter.</w:t>
      </w:r>
    </w:p>
    <w:p>
      <w:pPr>
        <w:pStyle w:val="ListBullet"/>
      </w:pPr>
      <w:r>
        <w:t>Do not expose APIs too early before the internal data model and workflow logic are stable.</w:t>
      </w:r>
    </w:p>
    <w:p>
      <w:pPr>
        <w:pStyle w:val="ListBullet"/>
      </w:pPr>
      <w:r>
        <w:t>Do not spread effort evenly across all integrations. Win the highest-friction workflow surfaces first.</w:t>
      </w:r>
    </w:p>
    <w:p>
      <w:r>
        <w:rPr>
          <w:b/>
          <w:sz w:val="26"/>
        </w:rPr>
        <w:t>7. Source Note</w:t>
      </w:r>
    </w:p>
    <w:p>
      <w:r>
        <w:t>This plan is based on public product positioning from Personara.ai, Gallup Access / CliftonStrengths, Cloverleaf, Crystal, BetterUp, WorkStyle, TeamDynamics, Humantic AI, and Apt. The companion spreadsheet includes the source URLs used for the feature matrix.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