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ptos" w:hAnsi="Aptos"/>
          <w:b/>
          <w:color w:val="3478B7"/>
          <w:sz w:val="16"/>
        </w:rPr>
        <w:t>CAREER INTELLIGENCE</w:t>
      </w:r>
    </w:p>
    <w:p>
      <w:pPr>
        <w:pStyle w:val="Title"/>
        <w:spacing w:after="20"/>
      </w:pPr>
      <w:r>
        <w:t>Redefine a user's executive story through their Gallup strengths</w:t>
      </w:r>
    </w:p>
    <w:p>
      <w:pPr>
        <w:pStyle w:val="Subtitle"/>
        <w:spacing w:after="120"/>
      </w:pPr>
      <w:r>
        <w:t>Career Intelligence helps people turn natural talent into credible executive positioning, better career assets, and smarter market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16"/>
      </w:tblGrid>
      <w:tr>
        <w:tc>
          <w:tcPr>
            <w:tcW w:type="dxa" w:w="5184"/>
            <w:tcMar>
              <w:top w:w="70" w:type="dxa"/>
              <w:bottom w:w="70" w:type="dxa"/>
              <w:start w:w="80" w:type="dxa"/>
              <w:end w:w="8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204973"/>
                <w:sz w:val="20"/>
              </w:rPr>
              <w:t>Why it wins</w:t>
            </w:r>
          </w:p>
        </w:tc>
        <w:tc>
          <w:tcPr>
            <w:tcW w:type="dxa" w:w="5184"/>
            <w:tcMar>
              <w:top w:w="70" w:type="dxa"/>
              <w:bottom w:w="70" w:type="dxa"/>
              <w:start w:w="80" w:type="dxa"/>
              <w:end w:w="80" w:type="dxa"/>
            </w:tcMar>
            <w:shd w:fill="F6F9FC"/>
            <w:vAlign w:val="center"/>
          </w:tcPr>
          <w:p>
            <w:r>
              <w:rPr>
                <w:sz w:val="18"/>
              </w:rPr>
              <w:t>Most career tools optimise wording. Career Intelligence starts with identity, so the result feels clearer, stronger, and more believable.</w:t>
            </w:r>
          </w:p>
        </w:tc>
      </w:tr>
    </w:tbl>
    <w:p>
      <w:pPr>
        <w:spacing w:after="0"/>
      </w:pPr>
    </w:p>
    <w:p>
      <w:pPr>
        <w:pStyle w:val="Heading1"/>
        <w:spacing w:before="40" w:after="60"/>
      </w:pPr>
      <w:r>
        <w:t>What it does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Reads Gallup strengths alongside CVs, LinkedIn profiles, and source material to identify leadership signature, value creation pattern, and likely differentiators.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Builds new executive positioning, stronger CV and LinkedIn copy, outreach material, interview guidance, and role-targeting direction.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Supports live job search and target-company thinking so users move from reflection to action in one workflow.</w:t>
      </w:r>
    </w:p>
    <w:p>
      <w:pPr>
        <w:pStyle w:val="Heading1"/>
        <w:spacing w:before="40" w:after="60"/>
      </w:pPr>
      <w:r>
        <w:t>Outcomes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5184"/>
            <w:shd w:fill="DCEAF7"/>
            <w:tcMar>
              <w:top w:w="60" w:type="dxa"/>
              <w:bottom w:w="60" w:type="dxa"/>
              <w:start w:w="75" w:type="dxa"/>
              <w:end w:w="75" w:type="dxa"/>
            </w:tcMar>
          </w:tcPr>
          <w:p>
            <w:r>
              <w:rPr>
                <w:b/>
                <w:color w:val="204973"/>
                <w:sz w:val="20"/>
              </w:rPr>
              <w:t>For the user</w:t>
            </w:r>
          </w:p>
        </w:tc>
        <w:tc>
          <w:tcPr>
            <w:tcW w:type="dxa" w:w="5184"/>
            <w:shd w:fill="DCEAF7"/>
            <w:tcMar>
              <w:top w:w="60" w:type="dxa"/>
              <w:bottom w:w="60" w:type="dxa"/>
              <w:start w:w="75" w:type="dxa"/>
              <w:end w:w="75" w:type="dxa"/>
            </w:tcMar>
          </w:tcPr>
          <w:p>
            <w:r>
              <w:rPr>
                <w:b/>
                <w:color w:val="204973"/>
                <w:sz w:val="20"/>
              </w:rPr>
              <w:t>For Personara.ai</w:t>
            </w:r>
          </w:p>
        </w:tc>
      </w:tr>
      <w:tr>
        <w:tc>
          <w:tcPr>
            <w:tcW w:type="dxa" w:w="5184"/>
            <w:shd w:fill="F8FBFE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Sharper executive identity and more confidence in how to present themselves.</w:t>
            </w:r>
          </w:p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Career documents that sound distinctive rather than generic.</w:t>
            </w:r>
          </w:p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Faster decisions on which roles, sectors, and employers to pursue.</w:t>
            </w:r>
          </w:p>
        </w:tc>
        <w:tc>
          <w:tcPr>
            <w:tcW w:type="dxa" w:w="5184"/>
            <w:shd w:fill="F8FBFE"/>
            <w:tcMar>
              <w:top w:w="70" w:type="dxa"/>
              <w:bottom w:w="70" w:type="dxa"/>
              <w:start w:w="80" w:type="dxa"/>
              <w:end w:w="80" w:type="dxa"/>
            </w:tcMar>
            <w:vAlign w:val="top"/>
          </w:tcPr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High repeat usage during search, application, networking, and interview cycles.</w:t>
            </w:r>
          </w:p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Natural path to premium outputs, coaching layers, and recruiter-facing packs.</w:t>
            </w:r>
          </w:p>
          <w:p>
            <w:pPr>
              <w:spacing w:after="20"/>
              <w:ind w:left="216" w:hanging="216"/>
            </w:pPr>
            <w:r>
              <w:rPr>
                <w:b/>
                <w:color w:val="3478B7"/>
              </w:rPr>
              <w:t xml:space="preserve">• </w:t>
            </w:r>
            <w:r>
              <w:t>A defensible strengths-based positioning engine, not just a rewrite tool.</w:t>
            </w:r>
          </w:p>
        </w:tc>
      </w:tr>
    </w:tbl>
    <w:p>
      <w:pPr>
        <w:spacing w:after="0"/>
      </w:pPr>
    </w:p>
    <w:p>
      <w:pPr>
        <w:pStyle w:val="Heading1"/>
        <w:spacing w:before="40" w:after="60"/>
      </w:pPr>
      <w:r>
        <w:t>Easy to use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Upload strengths and career material.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Review AI-generated positioning and documents.</w:t>
      </w:r>
    </w:p>
    <w:p>
      <w:pPr>
        <w:spacing w:after="24"/>
        <w:ind w:left="245" w:hanging="245"/>
      </w:pPr>
      <w:r>
        <w:rPr>
          <w:b/>
          <w:color w:val="3478B7"/>
        </w:rPr>
        <w:t xml:space="preserve">• </w:t>
      </w:r>
      <w:r>
        <w:t>Refine direction as opportunities and goals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16"/>
      </w:tblGrid>
      <w:tr>
        <w:tc>
          <w:tcPr>
            <w:tcW w:type="dxa" w:w="5184"/>
            <w:tcMar>
              <w:top w:w="70" w:type="dxa"/>
              <w:bottom w:w="70" w:type="dxa"/>
              <w:start w:w="80" w:type="dxa"/>
              <w:end w:w="80" w:type="dxa"/>
            </w:tcMar>
            <w:shd w:fill="EAF2F8"/>
            <w:vAlign w:val="center"/>
          </w:tcPr>
          <w:p>
            <w:pPr>
              <w:jc w:val="center"/>
            </w:pPr>
            <w:r>
              <w:rPr>
                <w:b/>
                <w:color w:val="204973"/>
                <w:sz w:val="20"/>
              </w:rPr>
              <w:t>In one line</w:t>
            </w:r>
          </w:p>
        </w:tc>
        <w:tc>
          <w:tcPr>
            <w:tcW w:type="dxa" w:w="5184"/>
            <w:tcMar>
              <w:top w:w="70" w:type="dxa"/>
              <w:bottom w:w="70" w:type="dxa"/>
              <w:start w:w="80" w:type="dxa"/>
              <w:end w:w="80" w:type="dxa"/>
            </w:tcMar>
            <w:shd w:fill="F6F9FC"/>
            <w:vAlign w:val="center"/>
          </w:tcPr>
          <w:p>
            <w:r>
              <w:rPr>
                <w:sz w:val="18"/>
              </w:rPr>
              <w:t>Career Intelligence turns strengths into executive positioning, career momentum, and live market traction.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720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368"/>
        <w:sz w:val="15"/>
      </w:rPr>
      <w:t>personara.ai | Strengths-based AI for identity, career, and growth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2049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204973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F6368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