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Future Pathway</w:t>
      </w:r>
    </w:p>
    <w:p/>
    <w:p>
      <w:pPr>
        <w:pStyle w:val="Heading1"/>
      </w:pPr>
      <w:r>
        <w:rPr>
          <w:b/>
          <w:bCs/>
        </w:rPr>
        <w:t xml:space="preserve">The Next Growth Engine For Practitioners</w:t>
      </w:r>
    </w:p>
    <w:p/>
    <w:p>
      <w:r>
        <w:t xml:space="preserve">Persona Foundry is evolving into a practitioner-first growth platform: one that helps coaches, consultants, advisors, and specialist professionals deliver stronger client outcomes, operate with less manual effort, and scale their business with confidence.</w:t>
      </w:r>
    </w:p>
    <w:p/>
    <w:p>
      <w:r>
        <w:t xml:space="preserve">This Future Pathway shows where the platform is heading and why these upgrades matter commercially.</w:t>
      </w:r>
    </w:p>
    <w:p/>
    <w:p>
      <w:pPr>
        <w:pStyle w:val="Heading1"/>
      </w:pPr>
      <w:r>
        <w:rPr>
          <w:b/>
          <w:bCs/>
        </w:rPr>
        <w:t xml:space="preserve">Why This Matters</w:t>
      </w:r>
    </w:p>
    <w:p/>
    <w:p>
      <w:r>
        <w:t xml:space="preserve">Practitioners do not just need more tools. They need:</w:t>
      </w:r>
    </w:p>
    <w:p>
      <w:pPr>
        <w:pStyle w:val="ListParagraph"/>
        <w:numPr>
          <w:ilvl w:val="0"/>
          <w:numId w:val="1"/>
        </w:numPr>
      </w:pPr>
      <w:r>
        <w:t xml:space="preserve">clearer outcomes they can prove to clients</w:t>
      </w:r>
    </w:p>
    <w:p>
      <w:pPr>
        <w:pStyle w:val="ListParagraph"/>
        <w:numPr>
          <w:ilvl w:val="0"/>
          <w:numId w:val="1"/>
        </w:numPr>
      </w:pPr>
      <w:r>
        <w:t xml:space="preserve">faster delivery without sacrificing quality</w:t>
      </w:r>
    </w:p>
    <w:p>
      <w:pPr>
        <w:pStyle w:val="ListParagraph"/>
        <w:numPr>
          <w:ilvl w:val="0"/>
          <w:numId w:val="1"/>
        </w:numPr>
      </w:pPr>
      <w:r>
        <w:t xml:space="preserve">better visibility on what is working</w:t>
      </w:r>
    </w:p>
    <w:p>
      <w:pPr>
        <w:pStyle w:val="ListParagraph"/>
        <w:numPr>
          <w:ilvl w:val="0"/>
          <w:numId w:val="1"/>
        </w:numPr>
      </w:pPr>
      <w:r>
        <w:t xml:space="preserve">repeatable systems they can delegate</w:t>
      </w:r>
    </w:p>
    <w:p>
      <w:pPr>
        <w:pStyle w:val="ListParagraph"/>
        <w:numPr>
          <w:ilvl w:val="0"/>
          <w:numId w:val="1"/>
        </w:numPr>
      </w:pPr>
      <w:r>
        <w:t xml:space="preserve">premium service layers that increase revenue per client</w:t>
      </w:r>
    </w:p>
    <w:p/>
    <w:p>
      <w:r>
        <w:t xml:space="preserve">The upcoming platform features are designed to do exactly that.</w:t>
      </w:r>
    </w:p>
    <w:p/>
    <w:p>
      <w:pPr>
        <w:pStyle w:val="Heading1"/>
      </w:pPr>
      <w:r>
        <w:rPr>
          <w:b/>
          <w:bCs/>
        </w:rPr>
        <w:t xml:space="preserve">1) AI Value and Readiness Dashboard</w:t>
      </w:r>
    </w:p>
    <w:p/>
    <w:p>
      <w:r>
        <w:t xml:space="preserve">A new visual dashboard layer will show, in plain language and charts, what is working and what needs attention.</w:t>
      </w:r>
    </w:p>
    <w:p/>
    <w:p>
      <w:r>
        <w:t xml:space="preserve">What it adds:</w:t>
      </w:r>
    </w:p>
    <w:p>
      <w:pPr>
        <w:pStyle w:val="ListParagraph"/>
        <w:numPr>
          <w:ilvl w:val="0"/>
          <w:numId w:val="1"/>
        </w:numPr>
      </w:pPr>
      <w:r>
        <w:t xml:space="preserve">Useful Output Rate trends (how often AI output becomes real action)</w:t>
      </w:r>
    </w:p>
    <w:p>
      <w:pPr>
        <w:pStyle w:val="ListParagraph"/>
        <w:numPr>
          <w:ilvl w:val="0"/>
          <w:numId w:val="1"/>
        </w:numPr>
      </w:pPr>
      <w:r>
        <w:t xml:space="preserve">friction indicators (for example regenerate-without-save patterns)</w:t>
      </w:r>
    </w:p>
    <w:p>
      <w:pPr>
        <w:pStyle w:val="ListParagraph"/>
        <w:numPr>
          <w:ilvl w:val="0"/>
          <w:numId w:val="1"/>
        </w:numPr>
      </w:pPr>
      <w:r>
        <w:t xml:space="preserve">time-to-first-action metrics</w:t>
      </w:r>
    </w:p>
    <w:p>
      <w:pPr>
        <w:pStyle w:val="ListParagraph"/>
        <w:numPr>
          <w:ilvl w:val="0"/>
          <w:numId w:val="1"/>
        </w:numPr>
      </w:pPr>
      <w:r>
        <w:t xml:space="preserve">quality score trends by interaction</w:t>
      </w:r>
    </w:p>
    <w:p>
      <w:pPr>
        <w:pStyle w:val="ListParagraph"/>
        <w:numPr>
          <w:ilvl w:val="0"/>
          <w:numId w:val="1"/>
        </w:numPr>
      </w:pPr>
      <w:r>
        <w:t xml:space="preserve">cost efficiency metrics (spend vs useful outcomes)</w:t>
      </w:r>
    </w:p>
    <w:p>
      <w:pPr>
        <w:pStyle w:val="ListParagraph"/>
        <w:numPr>
          <w:ilvl w:val="0"/>
          <w:numId w:val="1"/>
        </w:numPr>
      </w:pPr>
      <w:r>
        <w:t xml:space="preserve">business readiness indicators for operations, white-label, and enterprise use</w:t>
      </w:r>
    </w:p>
    <w:p/>
    <w:p>
      <w:r>
        <w:t xml:space="preserve">Why practitioners benefit:</w:t>
      </w:r>
    </w:p>
    <w:p>
      <w:pPr>
        <w:pStyle w:val="ListParagraph"/>
        <w:numPr>
          <w:ilvl w:val="0"/>
          <w:numId w:val="1"/>
        </w:numPr>
      </w:pPr>
      <w:r>
        <w:t xml:space="preserve">quickly identify which workflows are creating client progress</w:t>
      </w:r>
    </w:p>
    <w:p>
      <w:pPr>
        <w:pStyle w:val="ListParagraph"/>
        <w:numPr>
          <w:ilvl w:val="0"/>
          <w:numId w:val="1"/>
        </w:numPr>
      </w:pPr>
      <w:r>
        <w:t xml:space="preserve">stop wasting time on low-conversion activities</w:t>
      </w:r>
    </w:p>
    <w:p>
      <w:pPr>
        <w:pStyle w:val="ListParagraph"/>
        <w:numPr>
          <w:ilvl w:val="0"/>
          <w:numId w:val="1"/>
        </w:numPr>
      </w:pPr>
      <w:r>
        <w:t xml:space="preserve">confidently explain value to clients using evidence, not guesswork</w:t>
      </w:r>
    </w:p>
    <w:p>
      <w:pPr>
        <w:pStyle w:val="ListParagraph"/>
        <w:numPr>
          <w:ilvl w:val="0"/>
          <w:numId w:val="1"/>
        </w:numPr>
      </w:pPr>
      <w:r>
        <w:t xml:space="preserve">improve margins by reducing low-value AI spend</w:t>
      </w:r>
    </w:p>
    <w:p/>
    <w:p>
      <w:pPr>
        <w:pStyle w:val="Heading1"/>
      </w:pPr>
      <w:r>
        <w:rPr>
          <w:b/>
          <w:bCs/>
        </w:rPr>
        <w:t xml:space="preserve">2) TeamSync Intelligence Layer</w:t>
      </w:r>
    </w:p>
    <w:p/>
    <w:p>
      <w:r>
        <w:t xml:space="preserve">TeamSync will become a measurable collaboration engine, not just a simulation tool.</w:t>
      </w:r>
    </w:p>
    <w:p/>
    <w:p>
      <w:r>
        <w:t xml:space="preserve">What it adds:</w:t>
      </w:r>
    </w:p>
    <w:p>
      <w:pPr>
        <w:pStyle w:val="ListParagraph"/>
        <w:numPr>
          <w:ilvl w:val="0"/>
          <w:numId w:val="1"/>
        </w:numPr>
      </w:pPr>
      <w:r>
        <w:t xml:space="preserve">TeamSync-specific funnels: run started -&gt; completed -&gt; saved -&gt; shared/exported</w:t>
      </w:r>
    </w:p>
    <w:p>
      <w:pPr>
        <w:pStyle w:val="ListParagraph"/>
        <w:numPr>
          <w:ilvl w:val="0"/>
          <w:numId w:val="1"/>
        </w:numPr>
      </w:pPr>
      <w:r>
        <w:t xml:space="preserve">quality by scenario type (custom, library, executive)</w:t>
      </w:r>
    </w:p>
    <w:p>
      <w:pPr>
        <w:pStyle w:val="ListParagraph"/>
        <w:numPr>
          <w:ilvl w:val="0"/>
          <w:numId w:val="1"/>
        </w:numPr>
      </w:pPr>
      <w:r>
        <w:t xml:space="preserve">friction hotspot tracking by workflow step</w:t>
      </w:r>
    </w:p>
    <w:p>
      <w:pPr>
        <w:pStyle w:val="ListParagraph"/>
        <w:numPr>
          <w:ilvl w:val="0"/>
          <w:numId w:val="1"/>
        </w:numPr>
      </w:pPr>
      <w:r>
        <w:t xml:space="preserve">share/export activation metrics (Slack, Teams, email, docx, csv)</w:t>
      </w:r>
    </w:p>
    <w:p>
      <w:pPr>
        <w:pStyle w:val="ListParagraph"/>
        <w:numPr>
          <w:ilvl w:val="0"/>
          <w:numId w:val="1"/>
        </w:numPr>
      </w:pPr>
      <w:r>
        <w:t xml:space="preserve">repeat simulation behavior signals</w:t>
      </w:r>
    </w:p>
    <w:p/>
    <w:p>
      <w:r>
        <w:t xml:space="preserve">Why practitioners benefit:</w:t>
      </w:r>
    </w:p>
    <w:p>
      <w:pPr>
        <w:pStyle w:val="ListParagraph"/>
        <w:numPr>
          <w:ilvl w:val="0"/>
          <w:numId w:val="1"/>
        </w:numPr>
      </w:pPr>
      <w:r>
        <w:t xml:space="preserve">prove team-coaching impact with clear operational signals</w:t>
      </w:r>
    </w:p>
    <w:p>
      <w:pPr>
        <w:pStyle w:val="ListParagraph"/>
        <w:numPr>
          <w:ilvl w:val="0"/>
          <w:numId w:val="1"/>
        </w:numPr>
      </w:pPr>
      <w:r>
        <w:t xml:space="preserve">identify exactly where teams get stuck and intervene faster</w:t>
      </w:r>
    </w:p>
    <w:p>
      <w:pPr>
        <w:pStyle w:val="ListParagraph"/>
        <w:numPr>
          <w:ilvl w:val="0"/>
          <w:numId w:val="1"/>
        </w:numPr>
      </w:pPr>
      <w:r>
        <w:t xml:space="preserve">increase engagement by turning simulations into saved, shared action plans</w:t>
      </w:r>
    </w:p>
    <w:p>
      <w:pPr>
        <w:pStyle w:val="ListParagraph"/>
        <w:numPr>
          <w:ilvl w:val="0"/>
          <w:numId w:val="1"/>
        </w:numPr>
      </w:pPr>
      <w:r>
        <w:t xml:space="preserve">convert more team programs into ongoing retainers</w:t>
      </w:r>
    </w:p>
    <w:p/>
    <w:p>
      <w:pPr>
        <w:pStyle w:val="Heading1"/>
      </w:pPr>
      <w:r>
        <w:rPr>
          <w:b/>
          <w:bCs/>
        </w:rPr>
        <w:t xml:space="preserve">3) Guided Insights With Agent Support</w:t>
      </w:r>
    </w:p>
    <w:p/>
    <w:p>
      <w:r>
        <w:t xml:space="preserve">Every major chart and indicator will include concise �what this means� context and optional �Explain this metric� guidance through the agent.</w:t>
      </w:r>
    </w:p>
    <w:p/>
    <w:p>
      <w:r>
        <w:t xml:space="preserve">What it adds:</w:t>
      </w:r>
    </w:p>
    <w:p>
      <w:pPr>
        <w:pStyle w:val="ListParagraph"/>
        <w:numPr>
          <w:ilvl w:val="0"/>
          <w:numId w:val="1"/>
        </w:numPr>
      </w:pPr>
      <w:r>
        <w:t xml:space="preserve">plain-English interpretation under each metric panel</w:t>
      </w:r>
    </w:p>
    <w:p>
      <w:pPr>
        <w:pStyle w:val="ListParagraph"/>
        <w:numPr>
          <w:ilvl w:val="0"/>
          <w:numId w:val="1"/>
        </w:numPr>
      </w:pPr>
      <w:r>
        <w:t xml:space="preserve">agent-triggered contextual help and next-step recommendations</w:t>
      </w:r>
    </w:p>
    <w:p>
      <w:pPr>
        <w:pStyle w:val="ListParagraph"/>
        <w:numPr>
          <w:ilvl w:val="0"/>
          <w:numId w:val="1"/>
        </w:numPr>
      </w:pPr>
      <w:r>
        <w:t xml:space="preserve">novice-friendly guidance without requiring analytics expertise</w:t>
      </w:r>
    </w:p>
    <w:p/>
    <w:p>
      <w:r>
        <w:t xml:space="preserve">Why practitioners benefit:</w:t>
      </w:r>
    </w:p>
    <w:p>
      <w:pPr>
        <w:pStyle w:val="ListParagraph"/>
        <w:numPr>
          <w:ilvl w:val="0"/>
          <w:numId w:val="1"/>
        </w:numPr>
      </w:pPr>
      <w:r>
        <w:t xml:space="preserve">reduces overwhelm for new users</w:t>
      </w:r>
    </w:p>
    <w:p>
      <w:pPr>
        <w:pStyle w:val="ListParagraph"/>
        <w:numPr>
          <w:ilvl w:val="0"/>
          <w:numId w:val="1"/>
        </w:numPr>
      </w:pPr>
      <w:r>
        <w:t xml:space="preserve">shortens time from data -&gt; decision -&gt; action</w:t>
      </w:r>
    </w:p>
    <w:p>
      <w:pPr>
        <w:pStyle w:val="ListParagraph"/>
        <w:numPr>
          <w:ilvl w:val="0"/>
          <w:numId w:val="1"/>
        </w:numPr>
      </w:pPr>
      <w:r>
        <w:t xml:space="preserve">helps practitioners and their staff make better choices consistently</w:t>
      </w:r>
    </w:p>
    <w:p/>
    <w:p>
      <w:pPr>
        <w:pStyle w:val="Heading1"/>
      </w:pPr>
      <w:r>
        <w:rPr>
          <w:b/>
          <w:bCs/>
        </w:rPr>
        <w:t xml:space="preserve">4) Quality and Trust Controls</w:t>
      </w:r>
    </w:p>
    <w:p/>
    <w:p>
      <w:r>
        <w:t xml:space="preserve">AI outputs will be standardized, scored, and quality-checked before they drive decisions.</w:t>
      </w:r>
    </w:p>
    <w:p/>
    <w:p>
      <w:r>
        <w:t xml:space="preserve">What it adds:</w:t>
      </w:r>
    </w:p>
    <w:p>
      <w:pPr>
        <w:pStyle w:val="ListParagraph"/>
        <w:numPr>
          <w:ilvl w:val="0"/>
          <w:numId w:val="1"/>
        </w:numPr>
      </w:pPr>
      <w:r>
        <w:t xml:space="preserve">common interaction contracts across AI workflows</w:t>
      </w:r>
    </w:p>
    <w:p>
      <w:pPr>
        <w:pStyle w:val="ListParagraph"/>
        <w:numPr>
          <w:ilvl w:val="0"/>
          <w:numId w:val="1"/>
        </w:numPr>
      </w:pPr>
      <w:r>
        <w:t xml:space="preserve">quality rubric scoring (relevance, actionability, clarity, trust)</w:t>
      </w:r>
    </w:p>
    <w:p>
      <w:pPr>
        <w:pStyle w:val="ListParagraph"/>
        <w:numPr>
          <w:ilvl w:val="0"/>
          <w:numId w:val="1"/>
        </w:numPr>
      </w:pPr>
      <w:r>
        <w:t xml:space="preserve">evidence/source checks where research outputs are used</w:t>
      </w:r>
    </w:p>
    <w:p>
      <w:pPr>
        <w:pStyle w:val="ListParagraph"/>
        <w:numPr>
          <w:ilvl w:val="0"/>
          <w:numId w:val="1"/>
        </w:numPr>
      </w:pPr>
      <w:r>
        <w:t xml:space="preserve">safer fallback modes when model output is weak</w:t>
      </w:r>
    </w:p>
    <w:p/>
    <w:p>
      <w:r>
        <w:t xml:space="preserve">Why practitioners benefit:</w:t>
      </w:r>
    </w:p>
    <w:p>
      <w:pPr>
        <w:pStyle w:val="ListParagraph"/>
        <w:numPr>
          <w:ilvl w:val="0"/>
          <w:numId w:val="1"/>
        </w:numPr>
      </w:pPr>
      <w:r>
        <w:t xml:space="preserve">more client-ready outputs with fewer rewrites</w:t>
      </w:r>
    </w:p>
    <w:p>
      <w:pPr>
        <w:pStyle w:val="ListParagraph"/>
        <w:numPr>
          <w:ilvl w:val="0"/>
          <w:numId w:val="1"/>
        </w:numPr>
      </w:pPr>
      <w:r>
        <w:t xml:space="preserve">better confidence in recommendations</w:t>
      </w:r>
    </w:p>
    <w:p>
      <w:pPr>
        <w:pStyle w:val="ListParagraph"/>
        <w:numPr>
          <w:ilvl w:val="0"/>
          <w:numId w:val="1"/>
        </w:numPr>
      </w:pPr>
      <w:r>
        <w:t xml:space="preserve">lower reputation risk when scaling delivery</w:t>
      </w:r>
    </w:p>
    <w:p/>
    <w:p>
      <w:pPr>
        <w:pStyle w:val="Heading1"/>
      </w:pPr>
      <w:r>
        <w:rPr>
          <w:b/>
          <w:bCs/>
        </w:rPr>
        <w:t xml:space="preserve">5) White-Label and Policy Controls</w:t>
      </w:r>
    </w:p>
    <w:p/>
    <w:p>
      <w:r>
        <w:t xml:space="preserve">The platform is moving toward policy-driven control by tenant or account.</w:t>
      </w:r>
    </w:p>
    <w:p/>
    <w:p>
      <w:r>
        <w:t xml:space="preserve">What it adds:</w:t>
      </w:r>
    </w:p>
    <w:p>
      <w:pPr>
        <w:pStyle w:val="ListParagraph"/>
        <w:numPr>
          <w:ilvl w:val="0"/>
          <w:numId w:val="1"/>
        </w:numPr>
      </w:pPr>
      <w:r>
        <w:t xml:space="preserve">configurable model tiers and token controls</w:t>
      </w:r>
    </w:p>
    <w:p>
      <w:pPr>
        <w:pStyle w:val="ListParagraph"/>
        <w:numPr>
          <w:ilvl w:val="0"/>
          <w:numId w:val="1"/>
        </w:numPr>
      </w:pPr>
      <w:r>
        <w:t xml:space="preserve">quality and source strictness thresholds</w:t>
      </w:r>
    </w:p>
    <w:p>
      <w:pPr>
        <w:pStyle w:val="ListParagraph"/>
        <w:numPr>
          <w:ilvl w:val="0"/>
          <w:numId w:val="1"/>
        </w:numPr>
      </w:pPr>
      <w:r>
        <w:t xml:space="preserve">cost/quality presets by service tier</w:t>
      </w:r>
    </w:p>
    <w:p>
      <w:pPr>
        <w:pStyle w:val="ListParagraph"/>
        <w:numPr>
          <w:ilvl w:val="0"/>
          <w:numId w:val="1"/>
        </w:numPr>
      </w:pPr>
      <w:r>
        <w:t xml:space="preserve">governance-friendly auditability</w:t>
      </w:r>
    </w:p>
    <w:p/>
    <w:p>
      <w:r>
        <w:t xml:space="preserve">Why practitioners benefit:</w:t>
      </w:r>
    </w:p>
    <w:p>
      <w:pPr>
        <w:pStyle w:val="ListParagraph"/>
        <w:numPr>
          <w:ilvl w:val="0"/>
          <w:numId w:val="1"/>
        </w:numPr>
      </w:pPr>
      <w:r>
        <w:t xml:space="preserve">offer differentiated service levels (economy, balanced, premium)</w:t>
      </w:r>
    </w:p>
    <w:p>
      <w:pPr>
        <w:pStyle w:val="ListParagraph"/>
        <w:numPr>
          <w:ilvl w:val="0"/>
          <w:numId w:val="1"/>
        </w:numPr>
      </w:pPr>
      <w:r>
        <w:t xml:space="preserve">protect profitability while expanding client volume</w:t>
      </w:r>
    </w:p>
    <w:p>
      <w:pPr>
        <w:pStyle w:val="ListParagraph"/>
        <w:numPr>
          <w:ilvl w:val="0"/>
          <w:numId w:val="1"/>
        </w:numPr>
      </w:pPr>
      <w:r>
        <w:t xml:space="preserve">support enterprise-grade expectations for compliance and control</w:t>
      </w:r>
    </w:p>
    <w:p/>
    <w:p>
      <w:pPr>
        <w:pStyle w:val="Heading1"/>
      </w:pPr>
      <w:r>
        <w:rPr>
          <w:b/>
          <w:bCs/>
        </w:rPr>
        <w:t xml:space="preserve">6) Benchmark and Commercial Intelligence</w:t>
      </w:r>
    </w:p>
    <w:p/>
    <w:p>
      <w:r>
        <w:t xml:space="preserve">The platform will support anonymized benchmark views and partner-level performance insights.</w:t>
      </w:r>
    </w:p>
    <w:p/>
    <w:p>
      <w:r>
        <w:t xml:space="preserve">What it adds:</w:t>
      </w:r>
    </w:p>
    <w:p>
      <w:pPr>
        <w:pStyle w:val="ListParagraph"/>
        <w:numPr>
          <w:ilvl w:val="0"/>
          <w:numId w:val="1"/>
        </w:numPr>
      </w:pPr>
      <w:r>
        <w:t xml:space="preserve">cohort comparisons by segment or delivery model</w:t>
      </w:r>
    </w:p>
    <w:p>
      <w:pPr>
        <w:pStyle w:val="ListParagraph"/>
        <w:numPr>
          <w:ilvl w:val="0"/>
          <w:numId w:val="1"/>
        </w:numPr>
      </w:pPr>
      <w:r>
        <w:t xml:space="preserve">performance deltas against peer benchmarks</w:t>
      </w:r>
    </w:p>
    <w:p>
      <w:pPr>
        <w:pStyle w:val="ListParagraph"/>
        <w:numPr>
          <w:ilvl w:val="0"/>
          <w:numId w:val="1"/>
        </w:numPr>
      </w:pPr>
      <w:r>
        <w:t xml:space="preserve">clearer evidence for strategic positioning and sales conversations</w:t>
      </w:r>
    </w:p>
    <w:p/>
    <w:p>
      <w:r>
        <w:t xml:space="preserve">Why practitioners benefit:</w:t>
      </w:r>
    </w:p>
    <w:p>
      <w:pPr>
        <w:pStyle w:val="ListParagraph"/>
        <w:numPr>
          <w:ilvl w:val="0"/>
          <w:numId w:val="1"/>
        </w:numPr>
      </w:pPr>
      <w:r>
        <w:t xml:space="preserve">stronger proof in proposals and renewals</w:t>
      </w:r>
    </w:p>
    <w:p>
      <w:pPr>
        <w:pStyle w:val="ListParagraph"/>
        <w:numPr>
          <w:ilvl w:val="0"/>
          <w:numId w:val="1"/>
        </w:numPr>
      </w:pPr>
      <w:r>
        <w:t xml:space="preserve">faster identification of competitive strengths and gaps</w:t>
      </w:r>
    </w:p>
    <w:p>
      <w:pPr>
        <w:pStyle w:val="ListParagraph"/>
        <w:numPr>
          <w:ilvl w:val="0"/>
          <w:numId w:val="1"/>
        </w:numPr>
      </w:pPr>
      <w:r>
        <w:t xml:space="preserve">better pricing confidence from demonstrable value</w:t>
      </w:r>
    </w:p>
    <w:p/>
    <w:p>
      <w:pPr>
        <w:pStyle w:val="Heading1"/>
      </w:pPr>
      <w:r>
        <w:rPr>
          <w:b/>
          <w:bCs/>
        </w:rPr>
        <w:t xml:space="preserve">7) Predictive Next-Best-Action Engine</w:t>
      </w:r>
    </w:p>
    <w:p/>
    <w:p>
      <w:r>
        <w:t xml:space="preserve">The system will proactively recommend the highest-leverage next move for each user or client context.</w:t>
      </w:r>
    </w:p>
    <w:p/>
    <w:p>
      <w:r>
        <w:t xml:space="preserve">What it adds:</w:t>
      </w:r>
    </w:p>
    <w:p>
      <w:pPr>
        <w:pStyle w:val="ListParagraph"/>
        <w:numPr>
          <w:ilvl w:val="0"/>
          <w:numId w:val="1"/>
        </w:numPr>
      </w:pPr>
      <w:r>
        <w:t xml:space="preserve">next-action ranking based on workflow state and behavior signals</w:t>
      </w:r>
    </w:p>
    <w:p>
      <w:pPr>
        <w:pStyle w:val="ListParagraph"/>
        <w:numPr>
          <w:ilvl w:val="0"/>
          <w:numId w:val="1"/>
        </w:numPr>
      </w:pPr>
      <w:r>
        <w:t xml:space="preserve">stall risk detection and proactive recovery prompts</w:t>
      </w:r>
    </w:p>
    <w:p>
      <w:pPr>
        <w:pStyle w:val="ListParagraph"/>
        <w:numPr>
          <w:ilvl w:val="0"/>
          <w:numId w:val="1"/>
        </w:numPr>
      </w:pPr>
      <w:r>
        <w:t xml:space="preserve">action sequencing that improves continuity and completion</w:t>
      </w:r>
    </w:p>
    <w:p/>
    <w:p>
      <w:r>
        <w:t xml:space="preserve">Why practitioners benefit:</w:t>
      </w:r>
    </w:p>
    <w:p>
      <w:pPr>
        <w:pStyle w:val="ListParagraph"/>
        <w:numPr>
          <w:ilvl w:val="0"/>
          <w:numId w:val="1"/>
        </w:numPr>
      </w:pPr>
      <w:r>
        <w:t xml:space="preserve">more consistent client momentum</w:t>
      </w:r>
    </w:p>
    <w:p>
      <w:pPr>
        <w:pStyle w:val="ListParagraph"/>
        <w:numPr>
          <w:ilvl w:val="0"/>
          <w:numId w:val="1"/>
        </w:numPr>
      </w:pPr>
      <w:r>
        <w:t xml:space="preserve">fewer stalled engagements</w:t>
      </w:r>
    </w:p>
    <w:p>
      <w:pPr>
        <w:pStyle w:val="ListParagraph"/>
        <w:numPr>
          <w:ilvl w:val="0"/>
          <w:numId w:val="1"/>
        </w:numPr>
      </w:pPr>
      <w:r>
        <w:t xml:space="preserve">higher completion rates and better client outcomes</w:t>
      </w:r>
    </w:p>
    <w:p/>
    <w:p>
      <w:pPr>
        <w:pStyle w:val="Heading1"/>
      </w:pPr>
      <w:r>
        <w:rPr>
          <w:b/>
          <w:bCs/>
        </w:rPr>
        <w:t xml:space="preserve">8) Modular Enrichment Marketplace</w:t>
      </w:r>
    </w:p>
    <w:p/>
    <w:p>
      <w:r>
        <w:t xml:space="preserve">Longer-term, the platform will support modular enrichment packs by domain.</w:t>
      </w:r>
    </w:p>
    <w:p/>
    <w:p>
      <w:r>
        <w:t xml:space="preserve">What it adds:</w:t>
      </w:r>
    </w:p>
    <w:p>
      <w:pPr>
        <w:pStyle w:val="ListParagraph"/>
        <w:numPr>
          <w:ilvl w:val="0"/>
          <w:numId w:val="1"/>
        </w:numPr>
      </w:pPr>
      <w:r>
        <w:t xml:space="preserve">plug-in style capabilities without core rebuilds</w:t>
      </w:r>
    </w:p>
    <w:p>
      <w:pPr>
        <w:pStyle w:val="ListParagraph"/>
        <w:numPr>
          <w:ilvl w:val="0"/>
          <w:numId w:val="1"/>
        </w:numPr>
      </w:pPr>
      <w:r>
        <w:t xml:space="preserve">domain packs for coaching, recruiting, education, and more</w:t>
      </w:r>
    </w:p>
    <w:p>
      <w:pPr>
        <w:pStyle w:val="ListParagraph"/>
        <w:numPr>
          <w:ilvl w:val="0"/>
          <w:numId w:val="1"/>
        </w:numPr>
      </w:pPr>
      <w:r>
        <w:t xml:space="preserve">configurable expansions for new vertical opportunities</w:t>
      </w:r>
    </w:p>
    <w:p/>
    <w:p>
      <w:r>
        <w:t xml:space="preserve">Why practitioners benefit:</w:t>
      </w:r>
    </w:p>
    <w:p>
      <w:pPr>
        <w:pStyle w:val="ListParagraph"/>
        <w:numPr>
          <w:ilvl w:val="0"/>
          <w:numId w:val="1"/>
        </w:numPr>
      </w:pPr>
      <w:r>
        <w:t xml:space="preserve">faster service innovation</w:t>
      </w:r>
    </w:p>
    <w:p>
      <w:pPr>
        <w:pStyle w:val="ListParagraph"/>
        <w:numPr>
          <w:ilvl w:val="0"/>
          <w:numId w:val="1"/>
        </w:numPr>
      </w:pPr>
      <w:r>
        <w:t xml:space="preserve">easier entry into new niches</w:t>
      </w:r>
    </w:p>
    <w:p>
      <w:pPr>
        <w:pStyle w:val="ListParagraph"/>
        <w:numPr>
          <w:ilvl w:val="0"/>
          <w:numId w:val="1"/>
        </w:numPr>
      </w:pPr>
      <w:r>
        <w:t xml:space="preserve">new productized offerings without large custom development</w:t>
      </w:r>
    </w:p>
    <w:p/>
    <w:p>
      <w:pPr>
        <w:pStyle w:val="Heading1"/>
      </w:pPr>
      <w:r>
        <w:rPr>
          <w:b/>
          <w:bCs/>
        </w:rPr>
        <w:t xml:space="preserve">Business Impact For Practitioners</w:t>
      </w:r>
    </w:p>
    <w:p/>
    <w:p>
      <w:r>
        <w:t xml:space="preserve">Together, these features create a practical growth flywheel:</w:t>
      </w:r>
    </w:p>
    <w:p/>
    <w:p>
      <w:pPr>
        <w:pStyle w:val="ListParagraph"/>
        <w:numPr>
          <w:ilvl w:val="0"/>
          <w:numId w:val="1"/>
        </w:numPr>
      </w:pPr>
      <w:r>
        <w:t xml:space="preserve">Better insight -&gt; better action -&gt; better client outcomes</w:t>
      </w:r>
    </w:p>
    <w:p>
      <w:pPr>
        <w:pStyle w:val="ListParagraph"/>
        <w:numPr>
          <w:ilvl w:val="0"/>
          <w:numId w:val="1"/>
        </w:numPr>
      </w:pPr>
      <w:r>
        <w:t xml:space="preserve">Better outcomes -&gt; stronger trust -&gt; higher retention and referrals</w:t>
      </w:r>
    </w:p>
    <w:p>
      <w:pPr>
        <w:pStyle w:val="ListParagraph"/>
        <w:numPr>
          <w:ilvl w:val="0"/>
          <w:numId w:val="1"/>
        </w:numPr>
      </w:pPr>
      <w:r>
        <w:t xml:space="preserve">Better operations -&gt; higher delivery capacity -&gt; more revenue per team member</w:t>
      </w:r>
    </w:p>
    <w:p>
      <w:pPr>
        <w:pStyle w:val="ListParagraph"/>
        <w:numPr>
          <w:ilvl w:val="0"/>
          <w:numId w:val="1"/>
        </w:numPr>
      </w:pPr>
      <w:r>
        <w:t xml:space="preserve">Better measurement -&gt; stronger proof -&gt; easier premium positioning</w:t>
      </w:r>
    </w:p>
    <w:p/>
    <w:p>
      <w:r>
        <w:t xml:space="preserve">For practitioners focused on growth, this means the platform evolves from a support tool into an operating system for scalable, evidence-backed service delivery.</w:t>
      </w:r>
    </w:p>
    <w:p/>
    <w:p>
      <w:pPr>
        <w:pStyle w:val="Heading1"/>
      </w:pPr>
      <w:r>
        <w:rPr>
          <w:b/>
          <w:bCs/>
        </w:rPr>
        <w:t xml:space="preserve">Strategic Value Over Time</w:t>
      </w:r>
    </w:p>
    <w:p/>
    <w:p>
      <w:r>
        <w:t xml:space="preserve">As these capabilities mature, Persona Foundry becomes increasingly valuable for:</w:t>
      </w:r>
    </w:p>
    <w:p>
      <w:pPr>
        <w:pStyle w:val="ListParagraph"/>
        <w:numPr>
          <w:ilvl w:val="0"/>
          <w:numId w:val="1"/>
        </w:numPr>
      </w:pPr>
      <w:r>
        <w:t xml:space="preserve">independent practitioners building premium service businesses</w:t>
      </w:r>
    </w:p>
    <w:p>
      <w:pPr>
        <w:pStyle w:val="ListParagraph"/>
        <w:numPr>
          <w:ilvl w:val="0"/>
          <w:numId w:val="1"/>
        </w:numPr>
      </w:pPr>
      <w:r>
        <w:t xml:space="preserve">multi-coach firms needing consistency and governance</w:t>
      </w:r>
    </w:p>
    <w:p>
      <w:pPr>
        <w:pStyle w:val="ListParagraph"/>
        <w:numPr>
          <w:ilvl w:val="0"/>
          <w:numId w:val="1"/>
        </w:numPr>
      </w:pPr>
      <w:r>
        <w:t xml:space="preserve">white-label operators packaging outcomes for different markets</w:t>
      </w:r>
    </w:p>
    <w:p>
      <w:pPr>
        <w:pStyle w:val="ListParagraph"/>
        <w:numPr>
          <w:ilvl w:val="0"/>
          <w:numId w:val="1"/>
        </w:numPr>
      </w:pPr>
      <w:r>
        <w:t xml:space="preserve">strategic partners and acquirers evaluating operational maturity and expansion potential</w:t>
      </w:r>
    </w:p>
    <w:p/>
    <w:p>
      <w:r>
        <w:t xml:space="preserve">The Future Pathway is built around one principle: help practitioners grow a stronger business by making high-quality outcomes repeatable, measurable, and scalable.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2026-04-24T02:20:13.707Z</dcterms:created>
  <dcterms:modified xsi:type="dcterms:W3CDTF">2026-04-24T02:20:13.708Z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