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i-lesson---teachers-notes"/>
    <w:p>
      <w:pPr>
        <w:pStyle w:val="Heading1"/>
      </w:pPr>
      <w:r>
        <w:t xml:space="preserve">AI Lesson - Teachers Notes</w:t>
      </w:r>
    </w:p>
    <w:p>
      <w:pPr>
        <w:pStyle w:val="FirstParagraph"/>
      </w:pPr>
      <w:r>
        <w:rPr>
          <w:b/>
          <w:bCs/>
        </w:rPr>
        <w:t xml:space="preserve">Lesson aim</w:t>
      </w:r>
    </w:p>
    <w:p>
      <w:pPr>
        <w:numPr>
          <w:ilvl w:val="0"/>
          <w:numId w:val="1001"/>
        </w:numPr>
      </w:pPr>
      <w:r>
        <w:t xml:space="preserve">Build student habits for clear prompting, spotting errors/hallucinations, and verifying information from AI tools.</w:t>
      </w:r>
    </w:p>
    <w:p>
      <w:pPr>
        <w:pStyle w:val="FirstParagraph"/>
      </w:pPr>
      <w:r>
        <w:rPr>
          <w:b/>
          <w:bCs/>
        </w:rPr>
        <w:t xml:space="preserve">Timing overview (60 minutes)</w:t>
      </w:r>
    </w:p>
    <w:p>
      <w:pPr>
        <w:numPr>
          <w:ilvl w:val="0"/>
          <w:numId w:val="1002"/>
        </w:numPr>
      </w:pPr>
      <w:r>
        <w:t xml:space="preserve">Intro and objectives: 5 min</w:t>
      </w:r>
    </w:p>
    <w:p>
      <w:pPr>
        <w:numPr>
          <w:ilvl w:val="0"/>
          <w:numId w:val="1002"/>
        </w:numPr>
      </w:pPr>
      <w:r>
        <w:t xml:space="preserve">AI/LLM basics + advantages/problems: 12 min</w:t>
      </w:r>
    </w:p>
    <w:p>
      <w:pPr>
        <w:numPr>
          <w:ilvl w:val="0"/>
          <w:numId w:val="1002"/>
        </w:numPr>
      </w:pPr>
      <w:r>
        <w:t xml:space="preserve">Prompt generation practice: 8–10 min</w:t>
      </w:r>
    </w:p>
    <w:p>
      <w:pPr>
        <w:numPr>
          <w:ilvl w:val="0"/>
          <w:numId w:val="1002"/>
        </w:numPr>
      </w:pPr>
      <w:r>
        <w:t xml:space="preserve">Hallucinations + verification: 7–8 min</w:t>
      </w:r>
    </w:p>
    <w:p>
      <w:pPr>
        <w:numPr>
          <w:ilvl w:val="0"/>
          <w:numId w:val="1002"/>
        </w:numPr>
      </w:pPr>
      <w:r>
        <w:t xml:space="preserve">Practical accuracy exercise (group): 20 min</w:t>
      </w:r>
    </w:p>
    <w:p>
      <w:pPr>
        <w:numPr>
          <w:ilvl w:val="0"/>
          <w:numId w:val="1002"/>
        </w:numPr>
      </w:pPr>
      <w:r>
        <w:t xml:space="preserve">Debrief + norms + exit: 5–8 min</w:t>
      </w:r>
    </w:p>
    <w:p>
      <w:pPr>
        <w:pStyle w:val="FirstParagraph"/>
      </w:pPr>
      <w:r>
        <w:rPr>
          <w:b/>
          <w:bCs/>
        </w:rPr>
        <w:t xml:space="preserve">Slide-by-slide teacher guidance and scripts</w:t>
      </w:r>
    </w:p>
    <w:p>
      <w:pPr>
        <w:numPr>
          <w:ilvl w:val="0"/>
          <w:numId w:val="1003"/>
        </w:numPr>
      </w:pPr>
      <w:r>
        <w:t xml:space="preserve">Title: Using AI Wisely in School</w:t>
      </w:r>
    </w:p>
    <w:p>
      <w:pPr>
        <w:numPr>
          <w:ilvl w:val="0"/>
          <w:numId w:val="1004"/>
        </w:numPr>
      </w:pPr>
      <w:r>
        <w:t xml:space="preserve">Script: “Today we’re learning how to use AI to learn better—not to skip learning. We’ll practice writing clear prompts and verifying AI answers.”</w:t>
      </w:r>
    </w:p>
    <w:p>
      <w:pPr>
        <w:numPr>
          <w:ilvl w:val="0"/>
          <w:numId w:val="1004"/>
        </w:numPr>
      </w:pPr>
      <w:r>
        <w:t xml:space="preserve">Quick check: “Who’s used AI in the past month? For what?”</w:t>
      </w:r>
    </w:p>
    <w:p>
      <w:pPr>
        <w:numPr>
          <w:ilvl w:val="0"/>
          <w:numId w:val="1005"/>
        </w:numPr>
      </w:pPr>
      <w:r>
        <w:t xml:space="preserve">Objectives</w:t>
      </w:r>
    </w:p>
    <w:p>
      <w:pPr>
        <w:numPr>
          <w:ilvl w:val="0"/>
          <w:numId w:val="1006"/>
        </w:numPr>
      </w:pPr>
      <w:r>
        <w:t xml:space="preserve">Script: “By the end, you can explain what LLMs do, write a strong prompt, spot typical AI errors, and verify key claims with sources.”</w:t>
      </w:r>
    </w:p>
    <w:p>
      <w:pPr>
        <w:numPr>
          <w:ilvl w:val="0"/>
          <w:numId w:val="1007"/>
        </w:numPr>
      </w:pPr>
      <w:r>
        <w:t xml:space="preserve">AI/LLM: what it is (simple, non-technical)</w:t>
      </w:r>
    </w:p>
    <w:p>
      <w:pPr>
        <w:numPr>
          <w:ilvl w:val="0"/>
          <w:numId w:val="1008"/>
        </w:numPr>
      </w:pPr>
      <w:r>
        <w:t xml:space="preserve">Talking points:</w:t>
      </w:r>
    </w:p>
    <w:p>
      <w:pPr>
        <w:numPr>
          <w:ilvl w:val="1"/>
          <w:numId w:val="1009"/>
        </w:numPr>
      </w:pPr>
      <w:r>
        <w:t xml:space="preserve">LLMs predict the next likely words. They generate plausible text; they don’t automatically “know” truth.</w:t>
      </w:r>
    </w:p>
    <w:p>
      <w:pPr>
        <w:numPr>
          <w:ilvl w:val="1"/>
          <w:numId w:val="1009"/>
        </w:numPr>
      </w:pPr>
      <w:r>
        <w:t xml:space="preserve">Great for drafting and explaining; still needs human verification.</w:t>
      </w:r>
    </w:p>
    <w:p>
      <w:pPr>
        <w:numPr>
          <w:ilvl w:val="0"/>
          <w:numId w:val="1008"/>
        </w:numPr>
      </w:pPr>
      <w:r>
        <w:t xml:space="preserve">Quick demo idea (optional): Ask an AI, “In 2 sentences, explain how a refrigerator keeps food cold for a 15-year-old, include one misconception people have.” Use it to discuss clarity vs. certainty.</w:t>
      </w:r>
    </w:p>
    <w:p>
      <w:pPr>
        <w:numPr>
          <w:ilvl w:val="0"/>
          <w:numId w:val="1010"/>
        </w:numPr>
      </w:pPr>
      <w:r>
        <w:t xml:space="preserve">Where we see AI (subject-neutral)</w:t>
      </w:r>
    </w:p>
    <w:p>
      <w:pPr>
        <w:numPr>
          <w:ilvl w:val="0"/>
          <w:numId w:val="1011"/>
        </w:numPr>
      </w:pPr>
      <w:r>
        <w:t xml:space="preserve">Examples:</w:t>
      </w:r>
    </w:p>
    <w:p>
      <w:pPr>
        <w:numPr>
          <w:ilvl w:val="1"/>
          <w:numId w:val="1012"/>
        </w:numPr>
      </w:pPr>
      <w:r>
        <w:t xml:space="preserve">School: study notes, summaries, practice questions, translation.</w:t>
      </w:r>
    </w:p>
    <w:p>
      <w:pPr>
        <w:numPr>
          <w:ilvl w:val="1"/>
          <w:numId w:val="1012"/>
        </w:numPr>
      </w:pPr>
      <w:r>
        <w:t xml:space="preserve">Everyday: recommendations (music/video), autocomplete, voice assistants.</w:t>
      </w:r>
    </w:p>
    <w:p>
      <w:pPr>
        <w:numPr>
          <w:ilvl w:val="0"/>
          <w:numId w:val="1011"/>
        </w:numPr>
      </w:pPr>
      <w:r>
        <w:t xml:space="preserve">Prompt students: “Share one helpful use and one risky use.”</w:t>
      </w:r>
    </w:p>
    <w:p>
      <w:pPr>
        <w:numPr>
          <w:ilvl w:val="0"/>
          <w:numId w:val="1013"/>
        </w:numPr>
      </w:pPr>
      <w:r>
        <w:t xml:space="preserve">Advantages vs. problems (T-chart)</w:t>
      </w:r>
    </w:p>
    <w:p>
      <w:pPr>
        <w:numPr>
          <w:ilvl w:val="0"/>
          <w:numId w:val="1014"/>
        </w:numPr>
      </w:pPr>
      <w:r>
        <w:t xml:space="preserve">Advantages examples:</w:t>
      </w:r>
    </w:p>
    <w:p>
      <w:pPr>
        <w:numPr>
          <w:ilvl w:val="1"/>
          <w:numId w:val="1015"/>
        </w:numPr>
      </w:pPr>
      <w:r>
        <w:t xml:space="preserve">Speed: outline an essay/report.</w:t>
      </w:r>
    </w:p>
    <w:p>
      <w:pPr>
        <w:numPr>
          <w:ilvl w:val="1"/>
          <w:numId w:val="1015"/>
        </w:numPr>
      </w:pPr>
      <w:r>
        <w:t xml:space="preserve">Personalised explanations at your level.</w:t>
      </w:r>
    </w:p>
    <w:p>
      <w:pPr>
        <w:numPr>
          <w:ilvl w:val="1"/>
          <w:numId w:val="1015"/>
        </w:numPr>
      </w:pPr>
      <w:r>
        <w:t xml:space="preserve">Drafting question banks or revision checklists.</w:t>
      </w:r>
    </w:p>
    <w:p>
      <w:pPr>
        <w:numPr>
          <w:ilvl w:val="0"/>
          <w:numId w:val="1014"/>
        </w:numPr>
      </w:pPr>
      <w:r>
        <w:t xml:space="preserve">Problems examples:</w:t>
      </w:r>
    </w:p>
    <w:p>
      <w:pPr>
        <w:numPr>
          <w:ilvl w:val="1"/>
          <w:numId w:val="1016"/>
        </w:numPr>
      </w:pPr>
      <w:r>
        <w:t xml:space="preserve">Hallucinated (invented) citations or facts.</w:t>
      </w:r>
    </w:p>
    <w:p>
      <w:pPr>
        <w:numPr>
          <w:ilvl w:val="1"/>
          <w:numId w:val="1016"/>
        </w:numPr>
      </w:pPr>
      <w:r>
        <w:t xml:space="preserve">Privacy/data concerns if you paste sensitive info.</w:t>
      </w:r>
    </w:p>
    <w:p>
      <w:pPr>
        <w:numPr>
          <w:ilvl w:val="1"/>
          <w:numId w:val="1016"/>
        </w:numPr>
      </w:pPr>
      <w:r>
        <w:t xml:space="preserve">Over-reliance: losing practice in reading/thinking.</w:t>
      </w:r>
    </w:p>
    <w:p>
      <w:pPr>
        <w:numPr>
          <w:ilvl w:val="0"/>
          <w:numId w:val="1014"/>
        </w:numPr>
      </w:pPr>
      <w:r>
        <w:t xml:space="preserve">Script: “Use AI to think with, not to think for you.”</w:t>
      </w:r>
    </w:p>
    <w:p>
      <w:pPr>
        <w:numPr>
          <w:ilvl w:val="0"/>
          <w:numId w:val="1017"/>
        </w:numPr>
      </w:pPr>
      <w:r>
        <w:t xml:space="preserve">Prompting: weak vs strong (universal template)</w:t>
      </w:r>
    </w:p>
    <w:p>
      <w:pPr>
        <w:numPr>
          <w:ilvl w:val="0"/>
          <w:numId w:val="1018"/>
        </w:numPr>
      </w:pPr>
      <w:r>
        <w:t xml:space="preserve">Weak: “Tell me about climate change.”</w:t>
      </w:r>
    </w:p>
    <w:p>
      <w:pPr>
        <w:numPr>
          <w:ilvl w:val="0"/>
          <w:numId w:val="1018"/>
        </w:numPr>
      </w:pPr>
      <w:r>
        <w:t xml:space="preserve">Strong: “Explain two key drivers of climate change for a 15-year-old in ≤120 words. Include 1 everyday example and 1 common misconception. Give 2 sources with author, date, and working links.”</w:t>
      </w:r>
    </w:p>
    <w:p>
      <w:pPr>
        <w:numPr>
          <w:ilvl w:val="0"/>
          <w:numId w:val="1018"/>
        </w:numPr>
      </w:pPr>
      <w:r>
        <w:t xml:space="preserve">Checklist (display or say):</w:t>
      </w:r>
    </w:p>
    <w:p>
      <w:pPr>
        <w:numPr>
          <w:ilvl w:val="1"/>
          <w:numId w:val="1019"/>
        </w:numPr>
      </w:pPr>
      <w:r>
        <w:t xml:space="preserve">Audience and purpose</w:t>
      </w:r>
    </w:p>
    <w:p>
      <w:pPr>
        <w:numPr>
          <w:ilvl w:val="1"/>
          <w:numId w:val="1019"/>
        </w:numPr>
      </w:pPr>
      <w:r>
        <w:t xml:space="preserve">Format and length (bullets vs paragraph)</w:t>
      </w:r>
    </w:p>
    <w:p>
      <w:pPr>
        <w:numPr>
          <w:ilvl w:val="1"/>
          <w:numId w:val="1019"/>
        </w:numPr>
      </w:pPr>
      <w:r>
        <w:t xml:space="preserve">Number of examples or misconceptions</w:t>
      </w:r>
    </w:p>
    <w:p>
      <w:pPr>
        <w:numPr>
          <w:ilvl w:val="1"/>
          <w:numId w:val="1019"/>
        </w:numPr>
      </w:pPr>
      <w:r>
        <w:t xml:space="preserve">Timeframe or context (country, years)</w:t>
      </w:r>
    </w:p>
    <w:p>
      <w:pPr>
        <w:numPr>
          <w:ilvl w:val="1"/>
          <w:numId w:val="1019"/>
        </w:numPr>
      </w:pPr>
      <w:r>
        <w:t xml:space="preserve">Sources with titles, authors, dates, and working links</w:t>
      </w:r>
    </w:p>
    <w:p>
      <w:pPr>
        <w:numPr>
          <w:ilvl w:val="0"/>
          <w:numId w:val="1018"/>
        </w:numPr>
      </w:pPr>
      <w:r>
        <w:t xml:space="preserve">Quick pair task (2–3 min): Rewrite a weak prompt into a strong one on any subject they pick.</w:t>
      </w:r>
    </w:p>
    <w:p>
      <w:pPr>
        <w:numPr>
          <w:ilvl w:val="0"/>
          <w:numId w:val="1020"/>
        </w:numPr>
      </w:pPr>
      <w:r>
        <w:t xml:space="preserve">Hallucinations and red flags (what to watch for)</w:t>
      </w:r>
    </w:p>
    <w:p>
      <w:pPr>
        <w:numPr>
          <w:ilvl w:val="0"/>
          <w:numId w:val="1021"/>
        </w:numPr>
      </w:pPr>
      <w:r>
        <w:t xml:space="preserve">Red flags to say out loud:</w:t>
      </w:r>
    </w:p>
    <w:p>
      <w:pPr>
        <w:numPr>
          <w:ilvl w:val="1"/>
          <w:numId w:val="1022"/>
        </w:numPr>
      </w:pPr>
      <w:r>
        <w:t xml:space="preserve">Confident tone, no sources</w:t>
      </w:r>
    </w:p>
    <w:p>
      <w:pPr>
        <w:numPr>
          <w:ilvl w:val="1"/>
          <w:numId w:val="1022"/>
        </w:numPr>
      </w:pPr>
      <w:r>
        <w:t xml:space="preserve">Fake-looking citations or broken links</w:t>
      </w:r>
    </w:p>
    <w:p>
      <w:pPr>
        <w:numPr>
          <w:ilvl w:val="1"/>
          <w:numId w:val="1022"/>
        </w:numPr>
      </w:pPr>
      <w:r>
        <w:t xml:space="preserve">Specific numbers without references</w:t>
      </w:r>
    </w:p>
    <w:p>
      <w:pPr>
        <w:numPr>
          <w:ilvl w:val="1"/>
          <w:numId w:val="1022"/>
        </w:numPr>
      </w:pPr>
      <w:r>
        <w:t xml:space="preserve">Misattributed quotes or mixed-up terms (e.g., correlation vs causation)</w:t>
      </w:r>
    </w:p>
    <w:p>
      <w:pPr>
        <w:numPr>
          <w:ilvl w:val="0"/>
          <w:numId w:val="1021"/>
        </w:numPr>
      </w:pPr>
      <w:r>
        <w:t xml:space="preserve">Script: “Confidence isn’t correctness. Treat unsourced claims like rumors until verified.”</w:t>
      </w:r>
    </w:p>
    <w:p>
      <w:pPr>
        <w:numPr>
          <w:ilvl w:val="0"/>
          <w:numId w:val="1023"/>
        </w:numPr>
      </w:pPr>
      <w:r>
        <w:t xml:space="preserve">Verification techniques (teacher-friendly, any subject)</w:t>
      </w:r>
    </w:p>
    <w:p>
      <w:pPr>
        <w:numPr>
          <w:ilvl w:val="0"/>
          <w:numId w:val="1024"/>
        </w:numPr>
      </w:pPr>
      <w:r>
        <w:t xml:space="preserve">Three steps:</w:t>
      </w:r>
    </w:p>
    <w:p>
      <w:pPr>
        <w:numPr>
          <w:ilvl w:val="1"/>
          <w:numId w:val="1025"/>
        </w:numPr>
      </w:pPr>
      <w:r>
        <w:t xml:space="preserve">Require sources (titles, authors, dates, links).</w:t>
      </w:r>
    </w:p>
    <w:p>
      <w:pPr>
        <w:numPr>
          <w:ilvl w:val="1"/>
          <w:numId w:val="1025"/>
        </w:numPr>
      </w:pPr>
      <w:r>
        <w:t xml:space="preserve">Cross-check with a trusted site or textbook.</w:t>
      </w:r>
    </w:p>
    <w:p>
      <w:pPr>
        <w:numPr>
          <w:ilvl w:val="1"/>
          <w:numId w:val="1025"/>
        </w:numPr>
      </w:pPr>
      <w:r>
        <w:t xml:space="preserve">Ask AI to self-audit: “List uncertainties; show how each source supports claim X.”</w:t>
      </w:r>
    </w:p>
    <w:p>
      <w:pPr>
        <w:numPr>
          <w:ilvl w:val="0"/>
          <w:numId w:val="1024"/>
        </w:numPr>
      </w:pPr>
      <w:r>
        <w:t xml:space="preserve">Methods to model:</w:t>
      </w:r>
    </w:p>
    <w:p>
      <w:pPr>
        <w:numPr>
          <w:ilvl w:val="1"/>
          <w:numId w:val="1026"/>
        </w:numPr>
      </w:pPr>
      <w:r>
        <w:t xml:space="preserve">Site search: site:who.int measles vaccine or site:britannica.com Versailles</w:t>
      </w:r>
    </w:p>
    <w:p>
      <w:pPr>
        <w:numPr>
          <w:ilvl w:val="1"/>
          <w:numId w:val="1026"/>
        </w:numPr>
      </w:pPr>
      <w:r>
        <w:t xml:space="preserve">Check dates and authors; skim for alignment (does the page actually say the claim?)</w:t>
      </w:r>
    </w:p>
    <w:p>
      <w:pPr>
        <w:numPr>
          <w:ilvl w:val="1"/>
          <w:numId w:val="1026"/>
        </w:numPr>
      </w:pPr>
      <w:r>
        <w:t xml:space="preserve">Use Wayback Machine for dead links.</w:t>
      </w:r>
    </w:p>
    <w:p>
      <w:pPr>
        <w:numPr>
          <w:ilvl w:val="0"/>
          <w:numId w:val="1027"/>
        </w:numPr>
      </w:pPr>
      <w:r>
        <w:t xml:space="preserve">Practical exercise: Information accuracy challenge</w:t>
      </w:r>
    </w:p>
    <w:p>
      <w:pPr>
        <w:numPr>
          <w:ilvl w:val="0"/>
          <w:numId w:val="1028"/>
        </w:numPr>
      </w:pPr>
      <w:r>
        <w:t xml:space="preserve">Instructions (on slide/board):</w:t>
      </w:r>
    </w:p>
    <w:p>
      <w:pPr>
        <w:numPr>
          <w:ilvl w:val="1"/>
          <w:numId w:val="1029"/>
        </w:numPr>
      </w:pPr>
      <w:r>
        <w:t xml:space="preserve">Choose a focused, checkable question.</w:t>
      </w:r>
    </w:p>
    <w:p>
      <w:pPr>
        <w:numPr>
          <w:ilvl w:val="1"/>
          <w:numId w:val="1029"/>
        </w:numPr>
      </w:pPr>
      <w:r>
        <w:t xml:space="preserve">Prompt AI: “Give 3–5 bullet claims. For each, include source title, author/organization, date, and working link.”</w:t>
      </w:r>
    </w:p>
    <w:p>
      <w:pPr>
        <w:numPr>
          <w:ilvl w:val="1"/>
          <w:numId w:val="1029"/>
        </w:numPr>
      </w:pPr>
      <w:r>
        <w:t xml:space="preserve">Record claims + links, then verify each with a second source or site search.</w:t>
      </w:r>
    </w:p>
    <w:p>
      <w:pPr>
        <w:numPr>
          <w:ilvl w:val="1"/>
          <w:numId w:val="1029"/>
        </w:numPr>
      </w:pPr>
      <w:r>
        <w:t xml:space="preserve">Summarize what’s verified, uncertain, or wrong.</w:t>
      </w:r>
    </w:p>
    <w:p>
      <w:pPr>
        <w:numPr>
          <w:ilvl w:val="0"/>
          <w:numId w:val="1028"/>
        </w:numPr>
      </w:pPr>
      <w:r>
        <w:t xml:space="preserve">Grouping: pairs or triads. Set a 12–15 minute timer.</w:t>
      </w:r>
    </w:p>
    <w:p>
      <w:pPr>
        <w:pStyle w:val="FirstParagraph"/>
      </w:pPr>
      <w:r>
        <w:rPr>
          <w:b/>
          <w:bCs/>
        </w:rPr>
        <w:t xml:space="preserve">Subject-neutral question bank (pick any)</w:t>
      </w:r>
    </w:p>
    <w:p>
      <w:pPr>
        <w:numPr>
          <w:ilvl w:val="0"/>
          <w:numId w:val="1030"/>
        </w:numPr>
      </w:pPr>
      <w:r>
        <w:t xml:space="preserve">Health: “List two evidence-based impacts of teen sleep deprivation on learning (2020–2025 sources).”</w:t>
      </w:r>
    </w:p>
    <w:p>
      <w:pPr>
        <w:numPr>
          <w:ilvl w:val="0"/>
          <w:numId w:val="1030"/>
        </w:numPr>
      </w:pPr>
      <w:r>
        <w:t xml:space="preserve">History: “Name three terms of the 1919 Treaty of Versailles with official/primary sources.”</w:t>
      </w:r>
    </w:p>
    <w:p>
      <w:pPr>
        <w:numPr>
          <w:ilvl w:val="0"/>
          <w:numId w:val="1030"/>
        </w:numPr>
      </w:pPr>
      <w:r>
        <w:t xml:space="preserve">Science: “Describe two greenhouse gases and one key source of each (recent sources).”</w:t>
      </w:r>
    </w:p>
    <w:p>
      <w:pPr>
        <w:numPr>
          <w:ilvl w:val="0"/>
          <w:numId w:val="1030"/>
        </w:numPr>
      </w:pPr>
      <w:r>
        <w:t xml:space="preserve">Geography: “Identify two causes and one consequence of coastal erosion in the UK or Ireland (recent sources).”</w:t>
      </w:r>
    </w:p>
    <w:p>
      <w:pPr>
        <w:numPr>
          <w:ilvl w:val="0"/>
          <w:numId w:val="1030"/>
        </w:numPr>
      </w:pPr>
      <w:r>
        <w:t xml:space="preserve">Media literacy: “Give three signs a news article is credible, with examples.”</w:t>
      </w:r>
    </w:p>
    <w:p>
      <w:pPr>
        <w:numPr>
          <w:ilvl w:val="0"/>
          <w:numId w:val="1030"/>
        </w:numPr>
      </w:pPr>
      <w:r>
        <w:t xml:space="preserve">Computing/media: “List two benefits and two risks of facial recognition in public spaces with policy sources.”</w:t>
      </w:r>
    </w:p>
    <w:p>
      <w:pPr>
        <w:pStyle w:val="FirstParagraph"/>
      </w:pPr>
      <w:r>
        <w:rPr>
          <w:b/>
          <w:bCs/>
        </w:rPr>
        <w:t xml:space="preserve">Model prompts students can copy</w:t>
      </w:r>
    </w:p>
    <w:p>
      <w:pPr>
        <w:numPr>
          <w:ilvl w:val="0"/>
          <w:numId w:val="1031"/>
        </w:numPr>
      </w:pPr>
      <w:r>
        <w:t xml:space="preserve">“Provide 3–5 bullet-point claims answering: [your focused question]. For each claim, give the source’s title, author/organization, publication date, and a working link. If uncertain, state uncertainty.”</w:t>
      </w:r>
    </w:p>
    <w:p>
      <w:pPr>
        <w:numPr>
          <w:ilvl w:val="0"/>
          <w:numId w:val="1031"/>
        </w:numPr>
      </w:pPr>
      <w:r>
        <w:t xml:space="preserve">Follow-up check: “Explain in one sentence how each source supports its claim. If any link is broken or off-topic, replace it.”</w:t>
      </w:r>
    </w:p>
    <w:p>
      <w:pPr>
        <w:pStyle w:val="FirstParagraph"/>
      </w:pPr>
      <w:r>
        <w:rPr>
          <w:b/>
          <w:bCs/>
        </w:rPr>
        <w:t xml:space="preserve">Expected verified claims and example sources (for non-specialists)</w:t>
      </w:r>
    </w:p>
    <w:p>
      <w:pPr>
        <w:numPr>
          <w:ilvl w:val="0"/>
          <w:numId w:val="1032"/>
        </w:numPr>
      </w:pPr>
      <w:r>
        <w:t xml:space="preserve">Sleep and learning:</w:t>
      </w:r>
    </w:p>
    <w:p>
      <w:pPr>
        <w:numPr>
          <w:ilvl w:val="1"/>
          <w:numId w:val="1033"/>
        </w:numPr>
      </w:pPr>
      <w:r>
        <w:t xml:space="preserve">Claims: reduced attention/working memory; mood/behaviour impact.</w:t>
      </w:r>
    </w:p>
    <w:p>
      <w:pPr>
        <w:numPr>
          <w:ilvl w:val="1"/>
          <w:numId w:val="1033"/>
        </w:numPr>
      </w:pPr>
      <w:r>
        <w:t xml:space="preserve">Sources:</w:t>
      </w:r>
    </w:p>
    <w:p>
      <w:pPr>
        <w:numPr>
          <w:ilvl w:val="2"/>
          <w:numId w:val="1034"/>
        </w:numPr>
      </w:pPr>
      <w:r>
        <w:t xml:space="preserve">NHS: Sleep and tiredness in teens</w:t>
      </w:r>
    </w:p>
    <w:p>
      <w:pPr>
        <w:numPr>
          <w:ilvl w:val="3"/>
          <w:numId w:val="1035"/>
        </w:numPr>
      </w:pPr>
      <w:hyperlink r:id="rId9">
        <w:r>
          <w:rPr>
            <w:rStyle w:val="Hyperlink"/>
          </w:rPr>
          <w:t xml:space="preserve">https://www.nhs.uk/live-well/sleep-and-tiredness/</w:t>
        </w:r>
      </w:hyperlink>
    </w:p>
    <w:p>
      <w:pPr>
        <w:numPr>
          <w:ilvl w:val="2"/>
          <w:numId w:val="1034"/>
        </w:numPr>
      </w:pPr>
      <w:r>
        <w:t xml:space="preserve">CDC: High school sleep and performance</w:t>
      </w:r>
    </w:p>
    <w:p>
      <w:pPr>
        <w:numPr>
          <w:ilvl w:val="3"/>
          <w:numId w:val="1036"/>
        </w:numPr>
      </w:pPr>
      <w:hyperlink r:id="rId10">
        <w:r>
          <w:rPr>
            <w:rStyle w:val="Hyperlink"/>
          </w:rPr>
          <w:t xml:space="preserve">https://www.cdc.gov/sleep/about_sleep/children.html</w:t>
        </w:r>
      </w:hyperlink>
    </w:p>
    <w:p>
      <w:pPr>
        <w:numPr>
          <w:ilvl w:val="0"/>
          <w:numId w:val="1032"/>
        </w:numPr>
      </w:pPr>
      <w:r>
        <w:t xml:space="preserve">Treaty of Versailles:</w:t>
      </w:r>
    </w:p>
    <w:p>
      <w:pPr>
        <w:numPr>
          <w:ilvl w:val="1"/>
          <w:numId w:val="1037"/>
        </w:numPr>
      </w:pPr>
      <w:r>
        <w:t xml:space="preserve">Claims: territorial changes; military limits; reparations.</w:t>
      </w:r>
    </w:p>
    <w:p>
      <w:pPr>
        <w:numPr>
          <w:ilvl w:val="1"/>
          <w:numId w:val="1037"/>
        </w:numPr>
      </w:pPr>
      <w:r>
        <w:t xml:space="preserve">Sources:</w:t>
      </w:r>
    </w:p>
    <w:p>
      <w:pPr>
        <w:numPr>
          <w:ilvl w:val="2"/>
          <w:numId w:val="1038"/>
        </w:numPr>
      </w:pPr>
      <w:r>
        <w:t xml:space="preserve">UK National Archives (education resource)</w:t>
      </w:r>
    </w:p>
    <w:p>
      <w:pPr>
        <w:numPr>
          <w:ilvl w:val="3"/>
          <w:numId w:val="1039"/>
        </w:numPr>
      </w:pPr>
      <w:hyperlink r:id="rId11">
        <w:r>
          <w:rPr>
            <w:rStyle w:val="Hyperlink"/>
          </w:rPr>
          <w:t xml:space="preserve">https://www.nationalarchives.gov.uk/education/resources/treaty-versailles-1919/</w:t>
        </w:r>
      </w:hyperlink>
    </w:p>
    <w:p>
      <w:pPr>
        <w:numPr>
          <w:ilvl w:val="2"/>
          <w:numId w:val="1038"/>
        </w:numPr>
      </w:pPr>
      <w:r>
        <w:t xml:space="preserve">Britannica overview</w:t>
      </w:r>
    </w:p>
    <w:p>
      <w:pPr>
        <w:numPr>
          <w:ilvl w:val="3"/>
          <w:numId w:val="1040"/>
        </w:numPr>
      </w:pPr>
      <w:hyperlink r:id="rId12">
        <w:r>
          <w:rPr>
            <w:rStyle w:val="Hyperlink"/>
          </w:rPr>
          <w:t xml:space="preserve">https://www.britannica.com/event/Treaty-of-Versailles-1919</w:t>
        </w:r>
      </w:hyperlink>
    </w:p>
    <w:p>
      <w:pPr>
        <w:numPr>
          <w:ilvl w:val="0"/>
          <w:numId w:val="1032"/>
        </w:numPr>
      </w:pPr>
      <w:r>
        <w:t xml:space="preserve">Greenhouse gases:</w:t>
      </w:r>
    </w:p>
    <w:p>
      <w:pPr>
        <w:numPr>
          <w:ilvl w:val="1"/>
          <w:numId w:val="1041"/>
        </w:numPr>
      </w:pPr>
      <w:r>
        <w:t xml:space="preserve">Claims: CO2 from fossil fuels; methane from agriculture/waste.</w:t>
      </w:r>
    </w:p>
    <w:p>
      <w:pPr>
        <w:numPr>
          <w:ilvl w:val="1"/>
          <w:numId w:val="1041"/>
        </w:numPr>
      </w:pPr>
      <w:r>
        <w:t xml:space="preserve">Sources:</w:t>
      </w:r>
    </w:p>
    <w:p>
      <w:pPr>
        <w:numPr>
          <w:ilvl w:val="2"/>
          <w:numId w:val="1042"/>
        </w:numPr>
      </w:pPr>
      <w:r>
        <w:t xml:space="preserve">UN Climate Change basics</w:t>
      </w:r>
    </w:p>
    <w:p>
      <w:pPr>
        <w:numPr>
          <w:ilvl w:val="3"/>
          <w:numId w:val="1043"/>
        </w:numPr>
      </w:pPr>
      <w:hyperlink r:id="rId13">
        <w:r>
          <w:rPr>
            <w:rStyle w:val="Hyperlink"/>
          </w:rPr>
          <w:t xml:space="preserve">https://unfccc.int/climate-action/climate-neutral-now/sources</w:t>
        </w:r>
      </w:hyperlink>
    </w:p>
    <w:p>
      <w:pPr>
        <w:numPr>
          <w:ilvl w:val="2"/>
          <w:numId w:val="1042"/>
        </w:numPr>
      </w:pPr>
      <w:r>
        <w:t xml:space="preserve">NASA climate facts</w:t>
      </w:r>
    </w:p>
    <w:p>
      <w:pPr>
        <w:numPr>
          <w:ilvl w:val="3"/>
          <w:numId w:val="1044"/>
        </w:numPr>
      </w:pPr>
      <w:hyperlink r:id="rId14">
        <w:r>
          <w:rPr>
            <w:rStyle w:val="Hyperlink"/>
          </w:rPr>
          <w:t xml:space="preserve">https://climate.nasa.gov/</w:t>
        </w:r>
      </w:hyperlink>
    </w:p>
    <w:p>
      <w:pPr>
        <w:numPr>
          <w:ilvl w:val="0"/>
          <w:numId w:val="1032"/>
        </w:numPr>
      </w:pPr>
      <w:r>
        <w:t xml:space="preserve">Coastal erosion (UK/IE):</w:t>
      </w:r>
    </w:p>
    <w:p>
      <w:pPr>
        <w:numPr>
          <w:ilvl w:val="1"/>
          <w:numId w:val="1045"/>
        </w:numPr>
      </w:pPr>
      <w:r>
        <w:t xml:space="preserve">Claims: wave action/storms; sea-level rise; impact on infrastructure.</w:t>
      </w:r>
    </w:p>
    <w:p>
      <w:pPr>
        <w:numPr>
          <w:ilvl w:val="1"/>
          <w:numId w:val="1045"/>
        </w:numPr>
      </w:pPr>
      <w:r>
        <w:t xml:space="preserve">Sources:</w:t>
      </w:r>
    </w:p>
    <w:p>
      <w:pPr>
        <w:numPr>
          <w:ilvl w:val="2"/>
          <w:numId w:val="1046"/>
        </w:numPr>
      </w:pPr>
      <w:r>
        <w:t xml:space="preserve">UK Met Office or gov.uk environment pages</w:t>
      </w:r>
    </w:p>
    <w:p>
      <w:pPr>
        <w:numPr>
          <w:ilvl w:val="3"/>
          <w:numId w:val="1047"/>
        </w:numPr>
      </w:pPr>
      <w:hyperlink r:id="rId15">
        <w:r>
          <w:rPr>
            <w:rStyle w:val="Hyperlink"/>
          </w:rPr>
          <w:t xml:space="preserve">https://www.metoffice.gov.uk/weather/learn-about/weather/coast-and-sea/coastal-erosion</w:t>
        </w:r>
      </w:hyperlink>
    </w:p>
    <w:p>
      <w:pPr>
        <w:numPr>
          <w:ilvl w:val="2"/>
          <w:numId w:val="1046"/>
        </w:numPr>
      </w:pPr>
      <w:r>
        <w:t xml:space="preserve">EPA Ireland (if Ireland focus)</w:t>
      </w:r>
    </w:p>
    <w:p>
      <w:pPr>
        <w:numPr>
          <w:ilvl w:val="3"/>
          <w:numId w:val="1048"/>
        </w:numPr>
      </w:pPr>
      <w:hyperlink r:id="rId16">
        <w:r>
          <w:rPr>
            <w:rStyle w:val="Hyperlink"/>
          </w:rPr>
          <w:t xml:space="preserve">https://www.epa.ie/</w:t>
        </w:r>
      </w:hyperlink>
    </w:p>
    <w:p>
      <w:pPr>
        <w:numPr>
          <w:ilvl w:val="0"/>
          <w:numId w:val="1032"/>
        </w:numPr>
      </w:pPr>
      <w:r>
        <w:t xml:space="preserve">News credibility:</w:t>
      </w:r>
    </w:p>
    <w:p>
      <w:pPr>
        <w:numPr>
          <w:ilvl w:val="1"/>
          <w:numId w:val="1049"/>
        </w:numPr>
      </w:pPr>
      <w:r>
        <w:t xml:space="preserve">Claims: transparent author/date; evidence links; reputable domain.</w:t>
      </w:r>
    </w:p>
    <w:p>
      <w:pPr>
        <w:numPr>
          <w:ilvl w:val="1"/>
          <w:numId w:val="1049"/>
        </w:numPr>
      </w:pPr>
      <w:r>
        <w:t xml:space="preserve">Sources:</w:t>
      </w:r>
    </w:p>
    <w:p>
      <w:pPr>
        <w:numPr>
          <w:ilvl w:val="2"/>
          <w:numId w:val="1050"/>
        </w:numPr>
      </w:pPr>
      <w:r>
        <w:t xml:space="preserve">News Literacy Project (educator resources)</w:t>
      </w:r>
    </w:p>
    <w:p>
      <w:pPr>
        <w:numPr>
          <w:ilvl w:val="3"/>
          <w:numId w:val="1051"/>
        </w:numPr>
      </w:pPr>
      <w:hyperlink r:id="rId17">
        <w:r>
          <w:rPr>
            <w:rStyle w:val="Hyperlink"/>
          </w:rPr>
          <w:t xml:space="preserve">https://newslit.org/educators/</w:t>
        </w:r>
      </w:hyperlink>
    </w:p>
    <w:p>
      <w:pPr>
        <w:numPr>
          <w:ilvl w:val="2"/>
          <w:numId w:val="1050"/>
        </w:numPr>
      </w:pPr>
      <w:r>
        <w:t xml:space="preserve">BBC Editorial Guidelines summary (credibility practices)</w:t>
      </w:r>
    </w:p>
    <w:p>
      <w:pPr>
        <w:numPr>
          <w:ilvl w:val="3"/>
          <w:numId w:val="1052"/>
        </w:numPr>
      </w:pPr>
      <w:hyperlink r:id="rId18">
        <w:r>
          <w:rPr>
            <w:rStyle w:val="Hyperlink"/>
          </w:rPr>
          <w:t xml:space="preserve">https://www.bbc.co.uk/editorialguidelines</w:t>
        </w:r>
      </w:hyperlink>
    </w:p>
    <w:p>
      <w:pPr>
        <w:numPr>
          <w:ilvl w:val="0"/>
          <w:numId w:val="1053"/>
        </w:numPr>
      </w:pPr>
      <w:r>
        <w:t xml:space="preserve">Monitor during exercise: teacher moves</w:t>
      </w:r>
    </w:p>
    <w:p>
      <w:pPr>
        <w:numPr>
          <w:ilvl w:val="0"/>
          <w:numId w:val="1054"/>
        </w:numPr>
      </w:pPr>
      <w:r>
        <w:t xml:space="preserve">If prompts are vague: “Who’s the audience? How many bullets? Ask for dates and working links.”</w:t>
      </w:r>
    </w:p>
    <w:p>
      <w:pPr>
        <w:numPr>
          <w:ilvl w:val="0"/>
          <w:numId w:val="1054"/>
        </w:numPr>
      </w:pPr>
      <w:r>
        <w:t xml:space="preserve">If links are broken: “Try site search: site:domain keyword; if still missing, mark as unverified.”</w:t>
      </w:r>
    </w:p>
    <w:p>
      <w:pPr>
        <w:numPr>
          <w:ilvl w:val="0"/>
          <w:numId w:val="1054"/>
        </w:numPr>
      </w:pPr>
      <w:r>
        <w:t xml:space="preserve">If two sources disagree: “Note the disagreement; prefer official/primary or consensus bodies; record uncertainty.”</w:t>
      </w:r>
    </w:p>
    <w:p>
      <w:pPr>
        <w:numPr>
          <w:ilvl w:val="0"/>
          <w:numId w:val="1055"/>
        </w:numPr>
      </w:pPr>
      <w:r>
        <w:t xml:space="preserve">Debrief (share 3–4 quick examples)</w:t>
      </w:r>
    </w:p>
    <w:p>
      <w:pPr>
        <w:numPr>
          <w:ilvl w:val="0"/>
          <w:numId w:val="1056"/>
        </w:numPr>
      </w:pPr>
      <w:r>
        <w:t xml:space="preserve">Ask:</w:t>
      </w:r>
    </w:p>
    <w:p>
      <w:pPr>
        <w:numPr>
          <w:ilvl w:val="1"/>
          <w:numId w:val="1057"/>
        </w:numPr>
      </w:pPr>
      <w:r>
        <w:t xml:space="preserve">“Which prompt constraint helped most?”</w:t>
      </w:r>
    </w:p>
    <w:p>
      <w:pPr>
        <w:numPr>
          <w:ilvl w:val="1"/>
          <w:numId w:val="1057"/>
        </w:numPr>
      </w:pPr>
      <w:r>
        <w:t xml:space="preserve">“One claim you verified and the source?”</w:t>
      </w:r>
    </w:p>
    <w:p>
      <w:pPr>
        <w:numPr>
          <w:ilvl w:val="1"/>
          <w:numId w:val="1057"/>
        </w:numPr>
      </w:pPr>
      <w:r>
        <w:t xml:space="preserve">“One error/uncertainty you caught and how?”</w:t>
      </w:r>
    </w:p>
    <w:p>
      <w:pPr>
        <w:numPr>
          <w:ilvl w:val="0"/>
          <w:numId w:val="1056"/>
        </w:numPr>
      </w:pPr>
      <w:r>
        <w:t xml:space="preserve">Takeaways to say:</w:t>
      </w:r>
    </w:p>
    <w:p>
      <w:pPr>
        <w:numPr>
          <w:ilvl w:val="1"/>
          <w:numId w:val="1058"/>
        </w:numPr>
      </w:pPr>
      <w:r>
        <w:t xml:space="preserve">“Specific prompts produce checkable answers.”</w:t>
      </w:r>
    </w:p>
    <w:p>
      <w:pPr>
        <w:numPr>
          <w:ilvl w:val="1"/>
          <w:numId w:val="1058"/>
        </w:numPr>
      </w:pPr>
      <w:r>
        <w:t xml:space="preserve">“Verification is non-negotiable, even when it sounds right.”</w:t>
      </w:r>
    </w:p>
    <w:p>
      <w:pPr>
        <w:numPr>
          <w:ilvl w:val="1"/>
          <w:numId w:val="1058"/>
        </w:numPr>
      </w:pPr>
      <w:r>
        <w:t xml:space="preserve">“Transparency: note when AI helped and how you checked it.”</w:t>
      </w:r>
    </w:p>
    <w:p>
      <w:pPr>
        <w:numPr>
          <w:ilvl w:val="0"/>
          <w:numId w:val="1059"/>
        </w:numPr>
      </w:pPr>
      <w:r>
        <w:t xml:space="preserve">Class norms and exit</w:t>
      </w:r>
    </w:p>
    <w:p>
      <w:pPr>
        <w:numPr>
          <w:ilvl w:val="0"/>
          <w:numId w:val="1060"/>
        </w:numPr>
      </w:pPr>
      <w:r>
        <w:t xml:space="preserve">Post norms:</w:t>
      </w:r>
    </w:p>
    <w:p>
      <w:pPr>
        <w:numPr>
          <w:ilvl w:val="1"/>
          <w:numId w:val="1061"/>
        </w:numPr>
      </w:pPr>
      <w:r>
        <w:t xml:space="preserve">Be transparent (cite AI use).</w:t>
      </w:r>
    </w:p>
    <w:p>
      <w:pPr>
        <w:numPr>
          <w:ilvl w:val="1"/>
          <w:numId w:val="1061"/>
        </w:numPr>
      </w:pPr>
      <w:r>
        <w:t xml:space="preserve">Verify (check facts/links).</w:t>
      </w:r>
    </w:p>
    <w:p>
      <w:pPr>
        <w:numPr>
          <w:ilvl w:val="1"/>
          <w:numId w:val="1061"/>
        </w:numPr>
      </w:pPr>
      <w:r>
        <w:t xml:space="preserve">Learn first (try before asking AI).</w:t>
      </w:r>
    </w:p>
    <w:p>
      <w:pPr>
        <w:numPr>
          <w:ilvl w:val="1"/>
          <w:numId w:val="1061"/>
        </w:numPr>
      </w:pPr>
      <w:r>
        <w:t xml:space="preserve">Privacy (no personal/sensitive data).</w:t>
      </w:r>
    </w:p>
    <w:p>
      <w:pPr>
        <w:numPr>
          <w:ilvl w:val="1"/>
          <w:numId w:val="1061"/>
        </w:numPr>
      </w:pPr>
      <w:r>
        <w:t xml:space="preserve">Originality (you must understand your work).</w:t>
      </w:r>
    </w:p>
    <w:p>
      <w:pPr>
        <w:numPr>
          <w:ilvl w:val="0"/>
          <w:numId w:val="1060"/>
        </w:numPr>
      </w:pPr>
      <w:r>
        <w:t xml:space="preserve">Exit ticket (2 minutes):</w:t>
      </w:r>
    </w:p>
    <w:p>
      <w:pPr>
        <w:numPr>
          <w:ilvl w:val="1"/>
          <w:numId w:val="1062"/>
        </w:numPr>
      </w:pPr>
      <w:r>
        <w:t xml:space="preserve">“Write one strong prompt you’ll use next time.”</w:t>
      </w:r>
    </w:p>
    <w:p>
      <w:pPr>
        <w:numPr>
          <w:ilvl w:val="1"/>
          <w:numId w:val="1062"/>
        </w:numPr>
      </w:pPr>
      <w:r>
        <w:t xml:space="preserve">“Note one correction or improvement from today.”</w:t>
      </w:r>
    </w:p>
    <w:p>
      <w:pPr>
        <w:pStyle w:val="FirstParagraph"/>
      </w:pPr>
      <w:r>
        <w:rPr>
          <w:b/>
          <w:bCs/>
        </w:rPr>
        <w:t xml:space="preserve">Quick-reference tools for teachers (any subject)</w:t>
      </w:r>
    </w:p>
    <w:p>
      <w:pPr>
        <w:numPr>
          <w:ilvl w:val="0"/>
          <w:numId w:val="1063"/>
        </w:numPr>
      </w:pPr>
      <w:r>
        <w:t xml:space="preserve">General reference:</w:t>
      </w:r>
      <w:r>
        <w:t xml:space="preserve"> </w:t>
      </w:r>
      <w:hyperlink r:id="rId19">
        <w:r>
          <w:rPr>
            <w:rStyle w:val="Hyperlink"/>
          </w:rPr>
          <w:t xml:space="preserve">https://www.britannica.com</w:t>
        </w:r>
      </w:hyperlink>
    </w:p>
    <w:p>
      <w:pPr>
        <w:numPr>
          <w:ilvl w:val="0"/>
          <w:numId w:val="1063"/>
        </w:numPr>
      </w:pPr>
      <w:r>
        <w:t xml:space="preserve">Health/science:</w:t>
      </w:r>
      <w:r>
        <w:t xml:space="preserve"> </w:t>
      </w:r>
      <w:hyperlink r:id="rId20">
        <w:r>
          <w:rPr>
            <w:rStyle w:val="Hyperlink"/>
          </w:rPr>
          <w:t xml:space="preserve">https://www.who.int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https://www.nhs.uk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https://www.nih.gov</w:t>
        </w:r>
      </w:hyperlink>
    </w:p>
    <w:p>
      <w:pPr>
        <w:numPr>
          <w:ilvl w:val="0"/>
          <w:numId w:val="1063"/>
        </w:numPr>
      </w:pPr>
      <w:r>
        <w:t xml:space="preserve">History/primary:</w:t>
      </w:r>
      <w:r>
        <w:t xml:space="preserve"> </w:t>
      </w:r>
      <w:hyperlink r:id="rId23">
        <w:r>
          <w:rPr>
            <w:rStyle w:val="Hyperlink"/>
          </w:rPr>
          <w:t xml:space="preserve">https://www.nationalarchives.gov.uk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link"/>
          </w:rPr>
          <w:t xml:space="preserve">https://www.loc.gov</w:t>
        </w:r>
      </w:hyperlink>
    </w:p>
    <w:p>
      <w:pPr>
        <w:numPr>
          <w:ilvl w:val="0"/>
          <w:numId w:val="1063"/>
        </w:numPr>
      </w:pPr>
      <w:r>
        <w:t xml:space="preserve">Climate/science:</w:t>
      </w:r>
      <w:r>
        <w:t xml:space="preserve"> </w:t>
      </w:r>
      <w:hyperlink r:id="rId25">
        <w:r>
          <w:rPr>
            <w:rStyle w:val="Hyperlink"/>
          </w:rPr>
          <w:t xml:space="preserve">https://climate.nasa.gov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https://unfccc.int</w:t>
        </w:r>
      </w:hyperlink>
    </w:p>
    <w:p>
      <w:pPr>
        <w:numPr>
          <w:ilvl w:val="0"/>
          <w:numId w:val="1063"/>
        </w:numPr>
      </w:pPr>
      <w:r>
        <w:t xml:space="preserve">Government/official:</w:t>
      </w:r>
      <w:r>
        <w:t xml:space="preserve"> </w:t>
      </w:r>
      <w:hyperlink r:id="rId27">
        <w:r>
          <w:rPr>
            <w:rStyle w:val="Hyperlink"/>
          </w:rPr>
          <w:t xml:space="preserve">https://www.gov.uk</w:t>
        </w:r>
      </w:hyperlink>
      <w:r>
        <w:t xml:space="preserve"> </w:t>
      </w:r>
      <w:r>
        <w:t xml:space="preserve">|</w:t>
      </w:r>
      <w:r>
        <w:t xml:space="preserve"> </w:t>
      </w:r>
      <w:hyperlink r:id="rId28">
        <w:r>
          <w:rPr>
            <w:rStyle w:val="Hyperlink"/>
          </w:rPr>
          <w:t xml:space="preserve">https://europa.eu</w:t>
        </w:r>
      </w:hyperlink>
    </w:p>
    <w:p>
      <w:pPr>
        <w:numPr>
          <w:ilvl w:val="0"/>
          <w:numId w:val="1063"/>
        </w:numPr>
      </w:pPr>
      <w:r>
        <w:t xml:space="preserve">Media literacy:</w:t>
      </w:r>
      <w:r>
        <w:t xml:space="preserve"> </w:t>
      </w:r>
      <w:hyperlink r:id="rId29">
        <w:r>
          <w:rPr>
            <w:rStyle w:val="Hyperlink"/>
          </w:rPr>
          <w:t xml:space="preserve">https://newslit.org</w:t>
        </w:r>
      </w:hyperlink>
    </w:p>
    <w:p>
      <w:pPr>
        <w:numPr>
          <w:ilvl w:val="0"/>
          <w:numId w:val="1063"/>
        </w:numPr>
      </w:pPr>
      <w:r>
        <w:t xml:space="preserve">Scholarly search:</w:t>
      </w:r>
      <w:r>
        <w:t xml:space="preserve"> </w:t>
      </w:r>
      <w:hyperlink r:id="rId30">
        <w:r>
          <w:rPr>
            <w:rStyle w:val="Hyperlink"/>
          </w:rPr>
          <w:t xml:space="preserve">https://scholar.google.com</w:t>
        </w:r>
      </w:hyperlink>
    </w:p>
    <w:p>
      <w:pPr>
        <w:numPr>
          <w:ilvl w:val="0"/>
          <w:numId w:val="1063"/>
        </w:numPr>
      </w:pPr>
      <w:r>
        <w:t xml:space="preserve">Archive dead links:</w:t>
      </w:r>
      <w:r>
        <w:t xml:space="preserve"> </w:t>
      </w:r>
      <w:hyperlink r:id="rId31">
        <w:r>
          <w:rPr>
            <w:rStyle w:val="Hyperlink"/>
          </w:rPr>
          <w:t xml:space="preserve">https://web.archive.org</w:t>
        </w:r>
      </w:hyperlink>
    </w:p>
    <w:p>
      <w:pPr>
        <w:pStyle w:val="FirstParagraph"/>
      </w:pPr>
      <w:r>
        <w:rPr>
          <w:b/>
          <w:bCs/>
        </w:rPr>
        <w:t xml:space="preserve">Ready-to-read mini scripts you can lift</w:t>
      </w:r>
    </w:p>
    <w:p>
      <w:pPr>
        <w:numPr>
          <w:ilvl w:val="0"/>
          <w:numId w:val="1064"/>
        </w:numPr>
      </w:pPr>
      <w:r>
        <w:t xml:space="preserve">Introducing LLMs:</w:t>
      </w:r>
    </w:p>
    <w:p>
      <w:pPr>
        <w:numPr>
          <w:ilvl w:val="1"/>
          <w:numId w:val="1065"/>
        </w:numPr>
      </w:pPr>
      <w:r>
        <w:t xml:space="preserve">“Think of this as supercharged autocomplete. It’s great at producing plausible text, but it doesn’t guarantee the facts are correct. That’s why we verify.”</w:t>
      </w:r>
    </w:p>
    <w:p>
      <w:pPr>
        <w:numPr>
          <w:ilvl w:val="0"/>
          <w:numId w:val="1064"/>
        </w:numPr>
      </w:pPr>
      <w:r>
        <w:t xml:space="preserve">Upgrading a prompt:</w:t>
      </w:r>
    </w:p>
    <w:p>
      <w:pPr>
        <w:numPr>
          <w:ilvl w:val="1"/>
          <w:numId w:val="1066"/>
        </w:numPr>
      </w:pPr>
      <w:r>
        <w:t xml:space="preserve">“Add audience, format, word limit, and sources with dates. For example: ‘Explain X for a 15-year-old in ≤120 words, include 1 analogy and 2 examples, and cite 2 recent sources with working links.’”</w:t>
      </w:r>
    </w:p>
    <w:p>
      <w:pPr>
        <w:numPr>
          <w:ilvl w:val="0"/>
          <w:numId w:val="1064"/>
        </w:numPr>
      </w:pPr>
      <w:r>
        <w:t xml:space="preserve">Spotting red flags:</w:t>
      </w:r>
    </w:p>
    <w:p>
      <w:pPr>
        <w:numPr>
          <w:ilvl w:val="1"/>
          <w:numId w:val="1067"/>
        </w:numPr>
      </w:pPr>
      <w:r>
        <w:t xml:space="preserve">“Confident answer, no sources? That’s a red flag. Ask for author, date, and a working link for each claim.”</w:t>
      </w:r>
    </w:p>
    <w:p>
      <w:pPr>
        <w:numPr>
          <w:ilvl w:val="0"/>
          <w:numId w:val="1064"/>
        </w:numPr>
      </w:pPr>
      <w:r>
        <w:t xml:space="preserve">Verification nudge:</w:t>
      </w:r>
    </w:p>
    <w:p>
      <w:pPr>
        <w:numPr>
          <w:ilvl w:val="1"/>
          <w:numId w:val="1068"/>
        </w:numPr>
      </w:pPr>
      <w:r>
        <w:t xml:space="preserve">“Click the link. Does the page actually say that? If not, mark it uncertain and find a second source.”</w:t>
      </w:r>
    </w:p>
    <w:p>
      <w:pPr>
        <w:pStyle w:val="FirstParagraph"/>
      </w:pPr>
      <w:r>
        <w:rPr>
          <w:b/>
          <w:bCs/>
        </w:rPr>
        <w:t xml:space="preserve">Differentiation and extensions</w:t>
      </w:r>
    </w:p>
    <w:p>
      <w:pPr>
        <w:numPr>
          <w:ilvl w:val="0"/>
          <w:numId w:val="1069"/>
        </w:numPr>
      </w:pPr>
      <w:r>
        <w:t xml:space="preserve">Support:</w:t>
      </w:r>
    </w:p>
    <w:p>
      <w:pPr>
        <w:numPr>
          <w:ilvl w:val="1"/>
          <w:numId w:val="1070"/>
        </w:numPr>
      </w:pPr>
      <w:r>
        <w:t xml:space="preserve">Provide a prompt frame students can fill: audience, length, 3–5 bullets, sources with dates and links.</w:t>
      </w:r>
    </w:p>
    <w:p>
      <w:pPr>
        <w:numPr>
          <w:ilvl w:val="1"/>
          <w:numId w:val="1070"/>
        </w:numPr>
      </w:pPr>
      <w:r>
        <w:t xml:space="preserve">Offer a list of reputable domains per subject if classes vary.</w:t>
      </w:r>
    </w:p>
    <w:p>
      <w:pPr>
        <w:numPr>
          <w:ilvl w:val="0"/>
          <w:numId w:val="1069"/>
        </w:numPr>
      </w:pPr>
      <w:r>
        <w:t xml:space="preserve">Extension:</w:t>
      </w:r>
    </w:p>
    <w:p>
      <w:pPr>
        <w:numPr>
          <w:ilvl w:val="1"/>
          <w:numId w:val="1071"/>
        </w:numPr>
      </w:pPr>
      <w:r>
        <w:t xml:space="preserve">Compare two AI tools’ answers; decide which is better evidenced and why.</w:t>
      </w:r>
    </w:p>
    <w:p>
      <w:pPr>
        <w:numPr>
          <w:ilvl w:val="1"/>
          <w:numId w:val="1071"/>
        </w:numPr>
      </w:pPr>
      <w:r>
        <w:t xml:space="preserve">Build a simple credibility rubric: author, date, domain, evidence quality (score 1–3 each).</w:t>
      </w:r>
    </w:p>
    <w:p>
      <w:pPr>
        <w:pStyle w:val="FirstParagraph"/>
      </w:pPr>
      <w:r>
        <w:rPr>
          <w:b/>
          <w:bCs/>
        </w:rPr>
        <w:t xml:space="preserve">Assessment cues</w:t>
      </w:r>
    </w:p>
    <w:p>
      <w:pPr>
        <w:numPr>
          <w:ilvl w:val="0"/>
          <w:numId w:val="1072"/>
        </w:numPr>
      </w:pPr>
      <w:r>
        <w:t xml:space="preserve">Look for:</w:t>
      </w:r>
    </w:p>
    <w:p>
      <w:pPr>
        <w:numPr>
          <w:ilvl w:val="1"/>
          <w:numId w:val="1073"/>
        </w:numPr>
      </w:pPr>
      <w:r>
        <w:t xml:space="preserve">Clear, constrained prompts.</w:t>
      </w:r>
    </w:p>
    <w:p>
      <w:pPr>
        <w:numPr>
          <w:ilvl w:val="1"/>
          <w:numId w:val="1073"/>
        </w:numPr>
      </w:pPr>
      <w:r>
        <w:t xml:space="preserve">Verification logs with at least one confirmed source per claim.</w:t>
      </w:r>
    </w:p>
    <w:p>
      <w:pPr>
        <w:numPr>
          <w:ilvl w:val="1"/>
          <w:numId w:val="1073"/>
        </w:numPr>
      </w:pPr>
      <w:r>
        <w:t xml:space="preserve">Final summaries distinguishing verified vs. uncertain.</w:t>
      </w:r>
    </w:p>
    <w:p>
      <w:pPr>
        <w:numPr>
          <w:ilvl w:val="0"/>
          <w:numId w:val="1072"/>
        </w:numPr>
      </w:pPr>
      <w:r>
        <w:t xml:space="preserve">Ask:</w:t>
      </w:r>
    </w:p>
    <w:p>
      <w:pPr>
        <w:numPr>
          <w:ilvl w:val="1"/>
          <w:numId w:val="1074"/>
        </w:numPr>
      </w:pPr>
      <w:r>
        <w:t xml:space="preserve">“How did the second source confirm or challenge the claim?”</w:t>
      </w:r>
    </w:p>
    <w:p>
      <w:pPr>
        <w:numPr>
          <w:ilvl w:val="1"/>
          <w:numId w:val="1074"/>
        </w:numPr>
      </w:pPr>
      <w:r>
        <w:t xml:space="preserve">“What uncertainty did you leave in, and why?”</w:t>
      </w:r>
    </w:p>
    <w:p>
      <w:pPr>
        <w:pStyle w:val="FirstParagraph"/>
      </w:pP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climate.nasa.gov" TargetMode="External" /><Relationship Type="http://schemas.openxmlformats.org/officeDocument/2006/relationships/hyperlink" Id="rId14" Target="https://climate.nasa.gov/" TargetMode="External" /><Relationship Type="http://schemas.openxmlformats.org/officeDocument/2006/relationships/hyperlink" Id="rId28" Target="https://europa.eu" TargetMode="External" /><Relationship Type="http://schemas.openxmlformats.org/officeDocument/2006/relationships/hyperlink" Id="rId29" Target="https://newslit.org" TargetMode="External" /><Relationship Type="http://schemas.openxmlformats.org/officeDocument/2006/relationships/hyperlink" Id="rId17" Target="https://newslit.org/educators/" TargetMode="External" /><Relationship Type="http://schemas.openxmlformats.org/officeDocument/2006/relationships/hyperlink" Id="rId30" Target="https://scholar.google.com" TargetMode="External" /><Relationship Type="http://schemas.openxmlformats.org/officeDocument/2006/relationships/hyperlink" Id="rId26" Target="https://unfccc.int" TargetMode="External" /><Relationship Type="http://schemas.openxmlformats.org/officeDocument/2006/relationships/hyperlink" Id="rId13" Target="https://unfccc.int/climate-action/climate-neutral-now/sources" TargetMode="External" /><Relationship Type="http://schemas.openxmlformats.org/officeDocument/2006/relationships/hyperlink" Id="rId31" Target="https://web.archive.org" TargetMode="External" /><Relationship Type="http://schemas.openxmlformats.org/officeDocument/2006/relationships/hyperlink" Id="rId18" Target="https://www.bbc.co.uk/editorialguidelines" TargetMode="External" /><Relationship Type="http://schemas.openxmlformats.org/officeDocument/2006/relationships/hyperlink" Id="rId19" Target="https://www.britannica.com" TargetMode="External" /><Relationship Type="http://schemas.openxmlformats.org/officeDocument/2006/relationships/hyperlink" Id="rId12" Target="https://www.britannica.com/event/Treaty-of-Versailles-1919" TargetMode="External" /><Relationship Type="http://schemas.openxmlformats.org/officeDocument/2006/relationships/hyperlink" Id="rId10" Target="https://www.cdc.gov/sleep/about_sleep/children.html" TargetMode="External" /><Relationship Type="http://schemas.openxmlformats.org/officeDocument/2006/relationships/hyperlink" Id="rId16" Target="https://www.epa.ie/" TargetMode="External" /><Relationship Type="http://schemas.openxmlformats.org/officeDocument/2006/relationships/hyperlink" Id="rId27" Target="https://www.gov.uk" TargetMode="External" /><Relationship Type="http://schemas.openxmlformats.org/officeDocument/2006/relationships/hyperlink" Id="rId24" Target="https://www.loc.gov" TargetMode="External" /><Relationship Type="http://schemas.openxmlformats.org/officeDocument/2006/relationships/hyperlink" Id="rId15" Target="https://www.metoffice.gov.uk/weather/learn-about/weather/coast-and-sea/coastal-erosion" TargetMode="External" /><Relationship Type="http://schemas.openxmlformats.org/officeDocument/2006/relationships/hyperlink" Id="rId23" Target="https://www.nationalarchives.gov.uk" TargetMode="External" /><Relationship Type="http://schemas.openxmlformats.org/officeDocument/2006/relationships/hyperlink" Id="rId11" Target="https://www.nationalarchives.gov.uk/education/resources/treaty-versailles-1919/" TargetMode="External" /><Relationship Type="http://schemas.openxmlformats.org/officeDocument/2006/relationships/hyperlink" Id="rId21" Target="https://www.nhs.uk" TargetMode="External" /><Relationship Type="http://schemas.openxmlformats.org/officeDocument/2006/relationships/hyperlink" Id="rId9" Target="https://www.nhs.uk/live-well/sleep-and-tiredness/" TargetMode="External" /><Relationship Type="http://schemas.openxmlformats.org/officeDocument/2006/relationships/hyperlink" Id="rId22" Target="https://www.nih.gov" TargetMode="External" /><Relationship Type="http://schemas.openxmlformats.org/officeDocument/2006/relationships/hyperlink" Id="rId20" Target="https://www.who.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limate.nasa.gov" TargetMode="External" /><Relationship Type="http://schemas.openxmlformats.org/officeDocument/2006/relationships/hyperlink" Id="rId14" Target="https://climate.nasa.gov/" TargetMode="External" /><Relationship Type="http://schemas.openxmlformats.org/officeDocument/2006/relationships/hyperlink" Id="rId28" Target="https://europa.eu" TargetMode="External" /><Relationship Type="http://schemas.openxmlformats.org/officeDocument/2006/relationships/hyperlink" Id="rId29" Target="https://newslit.org" TargetMode="External" /><Relationship Type="http://schemas.openxmlformats.org/officeDocument/2006/relationships/hyperlink" Id="rId17" Target="https://newslit.org/educators/" TargetMode="External" /><Relationship Type="http://schemas.openxmlformats.org/officeDocument/2006/relationships/hyperlink" Id="rId30" Target="https://scholar.google.com" TargetMode="External" /><Relationship Type="http://schemas.openxmlformats.org/officeDocument/2006/relationships/hyperlink" Id="rId26" Target="https://unfccc.int" TargetMode="External" /><Relationship Type="http://schemas.openxmlformats.org/officeDocument/2006/relationships/hyperlink" Id="rId13" Target="https://unfccc.int/climate-action/climate-neutral-now/sources" TargetMode="External" /><Relationship Type="http://schemas.openxmlformats.org/officeDocument/2006/relationships/hyperlink" Id="rId31" Target="https://web.archive.org" TargetMode="External" /><Relationship Type="http://schemas.openxmlformats.org/officeDocument/2006/relationships/hyperlink" Id="rId18" Target="https://www.bbc.co.uk/editorialguidelines" TargetMode="External" /><Relationship Type="http://schemas.openxmlformats.org/officeDocument/2006/relationships/hyperlink" Id="rId19" Target="https://www.britannica.com" TargetMode="External" /><Relationship Type="http://schemas.openxmlformats.org/officeDocument/2006/relationships/hyperlink" Id="rId12" Target="https://www.britannica.com/event/Treaty-of-Versailles-1919" TargetMode="External" /><Relationship Type="http://schemas.openxmlformats.org/officeDocument/2006/relationships/hyperlink" Id="rId10" Target="https://www.cdc.gov/sleep/about_sleep/children.html" TargetMode="External" /><Relationship Type="http://schemas.openxmlformats.org/officeDocument/2006/relationships/hyperlink" Id="rId16" Target="https://www.epa.ie/" TargetMode="External" /><Relationship Type="http://schemas.openxmlformats.org/officeDocument/2006/relationships/hyperlink" Id="rId27" Target="https://www.gov.uk" TargetMode="External" /><Relationship Type="http://schemas.openxmlformats.org/officeDocument/2006/relationships/hyperlink" Id="rId24" Target="https://www.loc.gov" TargetMode="External" /><Relationship Type="http://schemas.openxmlformats.org/officeDocument/2006/relationships/hyperlink" Id="rId15" Target="https://www.metoffice.gov.uk/weather/learn-about/weather/coast-and-sea/coastal-erosion" TargetMode="External" /><Relationship Type="http://schemas.openxmlformats.org/officeDocument/2006/relationships/hyperlink" Id="rId23" Target="https://www.nationalarchives.gov.uk" TargetMode="External" /><Relationship Type="http://schemas.openxmlformats.org/officeDocument/2006/relationships/hyperlink" Id="rId11" Target="https://www.nationalarchives.gov.uk/education/resources/treaty-versailles-1919/" TargetMode="External" /><Relationship Type="http://schemas.openxmlformats.org/officeDocument/2006/relationships/hyperlink" Id="rId21" Target="https://www.nhs.uk" TargetMode="External" /><Relationship Type="http://schemas.openxmlformats.org/officeDocument/2006/relationships/hyperlink" Id="rId9" Target="https://www.nhs.uk/live-well/sleep-and-tiredness/" TargetMode="External" /><Relationship Type="http://schemas.openxmlformats.org/officeDocument/2006/relationships/hyperlink" Id="rId22" Target="https://www.nih.gov" TargetMode="External" /><Relationship Type="http://schemas.openxmlformats.org/officeDocument/2006/relationships/hyperlink" Id="rId20" Target="https://www.who.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2025-11-20T09:21:48Z</dcterms:created>
  <dcterms:modified xsi:type="dcterms:W3CDTF">2025-11-20T09:21:48Z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