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ne-page-cheat-sheet"/>
    <w:p>
      <w:pPr>
        <w:pStyle w:val="Heading1"/>
      </w:pPr>
      <w:r>
        <w:t xml:space="preserve">One-page cheat sheet</w:t>
      </w:r>
      <w:r>
        <w:t xml:space="preserve"> </w:t>
      </w:r>
    </w:p>
    <w:p>
      <w:pPr>
        <w:pStyle w:val="FirstParagraph"/>
      </w:pPr>
      <w:r>
        <w:t xml:space="preserve">Best quick sources:</w:t>
      </w:r>
    </w:p>
    <w:p>
      <w:pPr>
        <w:pStyle w:val="Compact"/>
        <w:numPr>
          <w:ilvl w:val="0"/>
          <w:numId w:val="1001"/>
        </w:numPr>
      </w:pPr>
    </w:p>
    <w:p>
      <w:pPr>
        <w:numPr>
          <w:ilvl w:val="1"/>
          <w:numId w:val="1002"/>
        </w:numPr>
      </w:pPr>
      <w:r>
        <w:t xml:space="preserve">Britannica, National Archives, WHO, NHS, NIH, EU, Library of Congress, Google Scholar</w:t>
      </w:r>
    </w:p>
    <w:p>
      <w:pPr>
        <w:numPr>
          <w:ilvl w:val="0"/>
          <w:numId w:val="1001"/>
        </w:numPr>
      </w:pPr>
      <w:r>
        <w:t xml:space="preserve">Quick checks:</w:t>
      </w:r>
    </w:p>
    <w:p>
      <w:pPr>
        <w:numPr>
          <w:ilvl w:val="1"/>
          <w:numId w:val="1003"/>
        </w:numPr>
      </w:pPr>
      <w:r>
        <w:t xml:space="preserve">site:domain query; click-through verification; look for dates and authors; archive dead links via web.archive.org</w:t>
      </w:r>
    </w:p>
    <w:p>
      <w:pPr>
        <w:numPr>
          <w:ilvl w:val="0"/>
          <w:numId w:val="1001"/>
        </w:numPr>
      </w:pPr>
      <w:r>
        <w:t xml:space="preserve">Strong prompt checklist:</w:t>
      </w:r>
    </w:p>
    <w:p>
      <w:pPr>
        <w:numPr>
          <w:ilvl w:val="1"/>
          <w:numId w:val="1004"/>
        </w:numPr>
      </w:pPr>
      <w:r>
        <w:t xml:space="preserve">Audience, length, format</w:t>
      </w:r>
    </w:p>
    <w:p>
      <w:pPr>
        <w:numPr>
          <w:ilvl w:val="1"/>
          <w:numId w:val="1004"/>
        </w:numPr>
      </w:pPr>
      <w:r>
        <w:t xml:space="preserve">Number of bullets/claims</w:t>
      </w:r>
    </w:p>
    <w:p>
      <w:pPr>
        <w:numPr>
          <w:ilvl w:val="1"/>
          <w:numId w:val="1004"/>
        </w:numPr>
      </w:pPr>
      <w:r>
        <w:t xml:space="preserve">Examples/misconceptions/timeframe</w:t>
      </w:r>
    </w:p>
    <w:p>
      <w:pPr>
        <w:numPr>
          <w:ilvl w:val="1"/>
          <w:numId w:val="1004"/>
        </w:numPr>
      </w:pPr>
      <w:r>
        <w:t xml:space="preserve">Source request: titles, authors, dates, working links</w:t>
      </w:r>
    </w:p>
    <w:p>
      <w:pPr>
        <w:numPr>
          <w:ilvl w:val="0"/>
          <w:numId w:val="1001"/>
        </w:numPr>
      </w:pPr>
      <w:r>
        <w:t xml:space="preserve">Red flags:</w:t>
      </w:r>
    </w:p>
    <w:p>
      <w:pPr>
        <w:numPr>
          <w:ilvl w:val="1"/>
          <w:numId w:val="1005"/>
        </w:numPr>
      </w:pPr>
      <w:r>
        <w:t xml:space="preserve">No sources; broken links; precise stats without references; misattributed quotes; conflating concepts</w:t>
      </w:r>
    </w:p>
    <w:p>
      <w:pPr>
        <w:numPr>
          <w:ilvl w:val="0"/>
          <w:numId w:val="1001"/>
        </w:numPr>
      </w:pPr>
      <w:r>
        <w:t xml:space="preserve">Phrases to use:</w:t>
      </w:r>
    </w:p>
    <w:p>
      <w:pPr>
        <w:numPr>
          <w:ilvl w:val="1"/>
          <w:numId w:val="1006"/>
        </w:numPr>
      </w:pPr>
      <w:r>
        <w:t xml:space="preserve">“List uncertainties in your answer.”</w:t>
      </w:r>
    </w:p>
    <w:p>
      <w:pPr>
        <w:numPr>
          <w:ilvl w:val="1"/>
          <w:numId w:val="1006"/>
        </w:numPr>
      </w:pPr>
      <w:r>
        <w:t xml:space="preserve">“Cite sources with working links and explain how they support each claim.”</w:t>
      </w:r>
    </w:p>
    <w:p>
      <w:pPr>
        <w:numPr>
          <w:ilvl w:val="1"/>
          <w:numId w:val="1006"/>
        </w:numPr>
      </w:pPr>
      <w:r>
        <w:t xml:space="preserve">“Limit to 3–5 bullets, ≤120 words, UK context if possible.”</w:t>
      </w:r>
    </w:p>
    <w:p>
      <w:pPr>
        <w:pStyle w:val="FirstParagraph"/>
      </w:pPr>
      <w:r>
        <w:t xml:space="preserve">Optional extensions (if time allows or for homework)</w:t>
      </w:r>
    </w:p>
    <w:p>
      <w:pPr>
        <w:numPr>
          <w:ilvl w:val="0"/>
          <w:numId w:val="1007"/>
        </w:numPr>
      </w:pPr>
      <w:r>
        <w:t xml:space="preserve">Compare two AI tools’ answers to the same question; evaluate which is better evidenced (rubric: author/date/domain/evidence quality).</w:t>
      </w:r>
    </w:p>
    <w:p>
      <w:pPr>
        <w:numPr>
          <w:ilvl w:val="0"/>
          <w:numId w:val="1007"/>
        </w:numPr>
      </w:pPr>
      <w:r>
        <w:t xml:space="preserve">Build a credibility rubric with 4 criteria and apply it to two sources.</w:t>
      </w:r>
    </w:p>
    <w:p>
      <w:pPr>
        <w:numPr>
          <w:ilvl w:val="0"/>
          <w:numId w:val="1007"/>
        </w:numPr>
      </w:pPr>
      <w:r>
        <w:t xml:space="preserve">Students create a “hallucination bingo” card from today’s red flags and try to spot one next week.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2025-11-20T09:21:15Z</dcterms:created>
  <dcterms:modified xsi:type="dcterms:W3CDTF">2025-11-20T09:21:15Z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