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color w:val="2E7D32"/>
          <w:sz w:val="40"/>
          <w:szCs w:val="40"/>
        </w:rPr>
        <w:t xml:space="preserve">Residuos que Educan — Cambios a la Web</w:t>
      </w:r>
    </w:p>
    <w:p>
      <w:pPr>
        <w:spacing w:after="300"/>
        <w:jc w:val="center"/>
      </w:pPr>
      <w:r>
        <w:rPr>
          <w:i/>
          <w:iCs/>
          <w:color w:val="666666"/>
          <w:sz w:val="20"/>
          <w:szCs w:val="20"/>
        </w:rPr>
        <w:t xml:space="preserve">Documento de trabajo ordenado a partir de las notas recibidas — 30 de julio de 2026</w:t>
      </w:r>
    </w:p>
    <w:p>
      <w:pPr>
        <w:spacing w:after="120"/>
      </w:pPr>
      <w:r>
        <w:t xml:space="preserve">Este documento organiza todos los cambios solicitados para la web en 7 bloques, de manera que el equipo de desarrollo/diseño pueda trabajarlos en orden: primero los textos (rápidos), luego la corrección de un error de contenido, el reordenamiento de secciones existentes, las secciones nuevas a construir, los elementos multimedia pendientes, los datos de contacto, y por último las notas de diseño/UX que no bloquean el resto.</w:t>
      </w:r>
    </w:p>
    <w:p>
      <w:pPr>
        <w:pStyle w:val="Heading1"/>
        <w:pBdr>
          <w:bottom w:val="single" w:color="2E7D32" w:sz="8" w:space="4"/>
        </w:pBdr>
        <w:spacing w:after="200" w:before="400"/>
      </w:pPr>
      <w:r>
        <w:rPr>
          <w:b/>
          <w:bCs/>
          <w:color w:val="2E7D32"/>
          <w:sz w:val="30"/>
          <w:szCs w:val="30"/>
        </w:rPr>
        <w:t xml:space="preserve">1. Cambios de texto (copy)</w:t>
      </w:r>
    </w:p>
    <w:p>
      <w:pPr>
        <w:pStyle w:val="Heading2"/>
        <w:spacing w:after="120" w:before="300"/>
      </w:pPr>
      <w:r>
        <w:rPr>
          <w:b/>
          <w:bCs/>
          <w:sz w:val="24"/>
          <w:szCs w:val="24"/>
        </w:rPr>
        <w:t xml:space="preserve">1.1 Mensaje principal del Hero (Inicio)</w:t>
      </w:r>
    </w:p>
    <w:p>
      <w:pPr>
        <w:spacing w:after="80"/>
        <w:ind w:left="360"/>
      </w:pPr>
      <w:r>
        <w:rPr>
          <w:b/>
          <w:bCs/>
          <w:color w:val="666666"/>
        </w:rPr>
        <w:t xml:space="preserve">ANTES — Título:  </w:t>
      </w:r>
      <w:r>
        <w:rPr>
          <w:i/>
          <w:iCs/>
        </w:rPr>
        <w:t xml:space="preserve">"Cumple la Ley REP y genera impacto medible"</w:t>
      </w:r>
    </w:p>
    <w:p>
      <w:pPr>
        <w:spacing w:after="80"/>
        <w:ind w:left="360"/>
      </w:pPr>
      <w:r>
        <w:rPr>
          <w:b/>
          <w:bCs/>
          <w:color w:val="666666"/>
        </w:rPr>
        <w:t xml:space="preserve">ANTES — Texto:  </w:t>
      </w:r>
      <w:r>
        <w:rPr>
          <w:i/>
          <w:iCs/>
        </w:rPr>
        <w:t xml:space="preserve">"Cumple la Ley REP, fortalece tu RSE y genera impacto medible con trazabilidad certificada."</w:t>
      </w:r>
    </w:p>
    <w:p>
      <w:pPr>
        <w:spacing w:after="80"/>
        <w:ind w:left="360"/>
      </w:pPr>
      <w:r>
        <w:rPr>
          <w:b/>
          <w:bCs/>
          <w:color w:val="2E7D32"/>
        </w:rPr>
        <w:t xml:space="preserve">NUEVO — Título:  </w:t>
      </w:r>
      <w:r>
        <w:rPr>
          <w:b/>
          <w:bCs/>
        </w:rPr>
        <w:t xml:space="preserve">"Convierte tu Responsabilidad Social en aulas reales"</w:t>
      </w:r>
    </w:p>
    <w:p>
      <w:pPr>
        <w:spacing w:after="80"/>
        <w:ind w:left="360"/>
      </w:pPr>
      <w:r>
        <w:rPr>
          <w:b/>
          <w:bCs/>
          <w:color w:val="2E7D32"/>
        </w:rPr>
        <w:t xml:space="preserve">NUEVO — Texto:  </w:t>
      </w:r>
      <w:r>
        <w:rPr>
          <w:b/>
          <w:bCs/>
        </w:rPr>
        <w:t xml:space="preserve">"Transforma los residuos que tu empresa ya genera en impacto social medible: fortalece tu estrategia ESG y de Responsabilidad Social, con trazabilidad certificada — y de paso, avanza en tu cumplimiento de la Ley REP."</w:t>
      </w:r>
    </w:p>
    <w:p>
      <w:pPr>
        <w:spacing w:after="200" w:before="60"/>
        <w:ind w:left="360"/>
      </w:pPr>
      <w:r>
        <w:rPr>
          <w:i/>
          <w:iCs/>
          <w:color w:val="666666"/>
          <w:sz w:val="20"/>
          <w:szCs w:val="20"/>
        </w:rPr>
        <w:t xml:space="preserve">Motivo: REP deja de ser el mensaje de entrada; pasa a ser un beneficio adicional ("de paso"), y RSE/ESG lidera el mensaje.</w:t>
      </w:r>
    </w:p>
    <w:p>
      <w:pPr>
        <w:pStyle w:val="Heading2"/>
        <w:spacing w:after="120" w:before="300"/>
      </w:pPr>
      <w:r>
        <w:rPr>
          <w:b/>
          <w:bCs/>
          <w:sz w:val="24"/>
          <w:szCs w:val="24"/>
        </w:rPr>
        <w:t xml:space="preserve">1.2 Cierre / CTA final de Inicio</w:t>
      </w:r>
    </w:p>
    <w:p>
      <w:pPr>
        <w:spacing w:after="80"/>
        <w:ind w:left="360"/>
      </w:pPr>
      <w:r>
        <w:rPr>
          <w:b/>
          <w:bCs/>
          <w:color w:val="666666"/>
        </w:rPr>
        <w:t xml:space="preserve">ANTES:  </w:t>
      </w:r>
      <w:r>
        <w:rPr>
          <w:i/>
          <w:iCs/>
        </w:rPr>
        <w:t xml:space="preserve">"No es solo cumplir. Es liderar."</w:t>
      </w:r>
    </w:p>
    <w:p>
      <w:pPr>
        <w:spacing w:after="80"/>
        <w:ind w:left="360"/>
      </w:pPr>
      <w:r>
        <w:rPr>
          <w:b/>
          <w:bCs/>
          <w:color w:val="2E7D32"/>
        </w:rPr>
        <w:t xml:space="preserve">NUEVO:  </w:t>
      </w:r>
      <w:r>
        <w:rPr>
          <w:b/>
          <w:bCs/>
        </w:rPr>
        <w:t xml:space="preserve">"Porque invertir en educación es también invertir en el futuro del país."</w:t>
      </w:r>
    </w:p>
    <w:p>
      <w:pPr>
        <w:spacing w:after="80"/>
        <w:ind w:left="360"/>
      </w:pPr>
      <w:r>
        <w:rPr>
          <w:b/>
          <w:bCs/>
          <w:color w:val="2E7D32"/>
        </w:rPr>
        <w:t xml:space="preserve">NUEVO — CTA:  </w:t>
      </w:r>
      <w:r>
        <w:rPr>
          <w:b/>
          <w:bCs/>
        </w:rPr>
        <w:t xml:space="preserve">"Súmate como aliado — agenda una reunión de 15 minutos y te mostramos cómo tu empresa (o tu organización) puede ser parte del cambio."</w:t>
      </w:r>
    </w:p>
    <w:p>
      <w:pPr>
        <w:pStyle w:val="Heading2"/>
        <w:spacing w:after="120" w:before="300"/>
      </w:pPr>
      <w:r>
        <w:rPr>
          <w:b/>
          <w:bCs/>
          <w:sz w:val="24"/>
          <w:szCs w:val="24"/>
        </w:rPr>
        <w:t xml:space="preserve">1.3 Nombre de campaña y cifra</w:t>
      </w:r>
    </w:p>
    <w:p>
      <w:pPr>
        <w:spacing w:after="80"/>
        <w:ind w:left="360"/>
      </w:pPr>
      <w:r>
        <w:rPr>
          <w:b/>
          <w:bCs/>
          <w:color w:val="666666"/>
        </w:rPr>
        <w:t xml:space="preserve">ANTES — Nombre:  </w:t>
      </w:r>
      <w:r>
        <w:rPr>
          <w:i/>
          <w:iCs/>
        </w:rPr>
        <w:t xml:space="preserve">"Ojo con el Planeta"</w:t>
      </w:r>
    </w:p>
    <w:p>
      <w:pPr>
        <w:spacing w:after="80"/>
        <w:ind w:left="360"/>
      </w:pPr>
      <w:r>
        <w:rPr>
          <w:b/>
          <w:bCs/>
          <w:color w:val="2E7D32"/>
        </w:rPr>
        <w:t xml:space="preserve">NUEVO — Nombre:  </w:t>
      </w:r>
      <w:r>
        <w:rPr>
          <w:b/>
          <w:bCs/>
        </w:rPr>
        <w:t xml:space="preserve">"Ojos por el Planeta"</w:t>
      </w:r>
    </w:p>
    <w:p>
      <w:pPr>
        <w:spacing w:after="80"/>
        <w:ind w:left="360"/>
      </w:pPr>
      <w:r>
        <w:rPr>
          <w:b/>
          <w:bCs/>
          <w:color w:val="666666"/>
        </w:rPr>
        <w:t xml:space="preserve">ANTES — Texto:  </w:t>
      </w:r>
      <w:r>
        <w:rPr>
          <w:i/>
          <w:iCs/>
        </w:rPr>
        <w:t xml:space="preserve">"...realizamos mediciones visuales y entregamos lentes personalizados a personas adultas mayores" (sin número)</w:t>
      </w:r>
    </w:p>
    <w:p>
      <w:pPr>
        <w:spacing w:after="80"/>
        <w:ind w:left="360"/>
      </w:pPr>
      <w:r>
        <w:rPr>
          <w:b/>
          <w:bCs/>
          <w:color w:val="2E7D32"/>
        </w:rPr>
        <w:t xml:space="preserve">NUEVO — Texto:  </w:t>
      </w:r>
      <w:r>
        <w:rPr>
          <w:b/>
          <w:bCs/>
        </w:rPr>
        <w:t xml:space="preserve">"...realizamos mediciones visuales y entregamos lentes personalizados a más de 60 personas adultas mayores."</w:t>
      </w:r>
    </w:p>
    <w:p>
      <w:pPr>
        <w:spacing w:after="200" w:before="60"/>
        <w:ind w:left="360"/>
      </w:pPr>
      <w:r>
        <w:rPr>
          <w:i/>
          <w:iCs/>
          <w:color w:val="666666"/>
          <w:sz w:val="20"/>
          <w:szCs w:val="20"/>
        </w:rPr>
        <w:t xml:space="preserve">Un número concreto da más credibilidad que una frase genérica.</w:t>
      </w:r>
    </w:p>
    <w:p>
      <w:pPr>
        <w:pStyle w:val="Heading1"/>
        <w:pBdr>
          <w:bottom w:val="single" w:color="2E7D32" w:sz="8" w:space="4"/>
        </w:pBdr>
        <w:spacing w:after="200" w:before="400"/>
      </w:pPr>
      <w:r>
        <w:rPr>
          <w:b/>
          <w:bCs/>
          <w:color w:val="2E7D32"/>
          <w:sz w:val="30"/>
          <w:szCs w:val="30"/>
        </w:rPr>
        <w:t xml:space="preserve">2. Corrección de contenido duplicado</w:t>
      </w:r>
    </w:p>
    <w:p>
      <w:pPr>
        <w:pStyle w:val="Heading2"/>
        <w:spacing w:after="120" w:before="300"/>
      </w:pPr>
      <w:r>
        <w:rPr>
          <w:b/>
          <w:bCs/>
          <w:sz w:val="24"/>
          <w:szCs w:val="24"/>
        </w:rPr>
        <w:t xml:space="preserve">2.1 Pasos en "Cómo puede ser parte un colegio"</w:t>
      </w:r>
    </w:p>
    <w:p>
      <w:pPr>
        <w:spacing w:after="120"/>
      </w:pPr>
      <w:r>
        <w:rPr>
          <w:color w:val="666666"/>
        </w:rPr>
        <w:t xml:space="preserve">Los pasos se repetían de forma redundante con el ciclo general de 5 pasos de Inicio. Se reduce a 4 pasos y el último pasa a coincidir con el paso 5 del modelo general ("El colegio cierra el ciclo").</w:t>
      </w:r>
    </w:p>
    <w:p>
      <w:pPr>
        <w:spacing w:after="80"/>
        <w:ind w:left="360"/>
      </w:pPr>
      <w:r>
        <w:rPr>
          <w:b/>
          <w:bCs/>
          <w:color w:val="666666"/>
        </w:rPr>
        <w:t xml:space="preserve">ANTES (5 pasos):  </w:t>
      </w: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Registro — Registrar la institución educativa.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Evaluación — Nuestro equipo evalúa las necesidades tecnológicas.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Ingreso — La institución ingresa al programa.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Financiamiento — Las empresas patrocinadoras financian la implementación mediante la valorización de residuos.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Entrega — El colegio recibe tecnología y equipamiento.</w:t>
      </w:r>
    </w:p>
    <w:p>
      <w:pPr>
        <w:spacing w:after="80"/>
        <w:ind w:left="360"/>
      </w:pPr>
      <w:r>
        <w:rPr>
          <w:b/>
          <w:bCs/>
          <w:color w:val="2E7D32"/>
        </w:rPr>
        <w:t xml:space="preserve">NUEVO (4 pasos):  </w:t>
      </w:r>
      <w:r>
        <w:t xml:space="preserve"/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Registro — Registra tu institución educativa.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Evaluación — Nuestro equipo evalúa las necesidades tecnológicas.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Implementación — La empresa aliada financia el Aula de Innovación mediante la valorización de sus residuos, y se instala la tecnología en tu colegio.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El colegio cierra el ciclo — Tu institución recolecta sus propios residuos y sostiene el modelo en el tiempo, dando continuidad al Aula.</w:t>
      </w:r>
    </w:p>
    <w:p>
      <w:pPr>
        <w:pStyle w:val="Heading1"/>
        <w:pBdr>
          <w:bottom w:val="single" w:color="2E7D32" w:sz="8" w:space="4"/>
        </w:pBdr>
        <w:spacing w:after="200" w:before="400"/>
      </w:pPr>
      <w:r>
        <w:rPr>
          <w:b/>
          <w:bCs/>
          <w:color w:val="2E7D32"/>
          <w:sz w:val="30"/>
          <w:szCs w:val="30"/>
        </w:rPr>
        <w:t xml:space="preserve">3. Reordenamiento de secciones existentes (mismo contenido, nuevo orden)</w:t>
      </w:r>
    </w:p>
    <w:p>
      <w:pPr>
        <w:pStyle w:val="Heading2"/>
        <w:spacing w:after="120" w:before="300"/>
      </w:pPr>
      <w:r>
        <w:rPr>
          <w:b/>
          <w:bCs/>
          <w:sz w:val="24"/>
          <w:szCs w:val="24"/>
        </w:rPr>
        <w:t xml:space="preserve">3.1 Lista de Beneficios</w:t>
      </w:r>
    </w:p>
    <w:p>
      <w:pPr>
        <w:spacing w:after="80"/>
        <w:ind w:left="360"/>
      </w:pPr>
      <w:r>
        <w:rPr>
          <w:b/>
          <w:bCs/>
          <w:color w:val="666666"/>
        </w:rPr>
        <w:t xml:space="preserve">ANTES:  </w:t>
      </w:r>
      <w:r>
        <w:rPr>
          <w:i/>
          <w:iCs/>
        </w:rPr>
        <w:t xml:space="preserve">(empieza con REP)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Cumplimiento de la Responsabilidad Extendida del Productor (REP)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Fortalecimiento de la Responsabilidad Social Empresarial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Gestión sostenible de residuos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Evidencia del impacto social generado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Contribución a los ODS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Mejora de la reputación corporativa</w:t>
      </w:r>
    </w:p>
    <w:p>
      <w:pPr>
        <w:spacing w:after="80"/>
        <w:ind w:left="360"/>
      </w:pPr>
      <w:r>
        <w:rPr>
          <w:b/>
          <w:bCs/>
          <w:color w:val="2E7D32"/>
        </w:rPr>
        <w:t xml:space="preserve">NUEVO:  </w:t>
      </w:r>
      <w:r>
        <w:rPr>
          <w:i/>
          <w:iCs/>
        </w:rPr>
        <w:t xml:space="preserve">(RSE/ESG primero, REP al final como plus)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Fortalecimiento de la Responsabilidad Social Empresarial (ESG)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Evidencia del impacto social generado, con reporte certificado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Contribución a los Objetivos de Desarrollo Sostenible (ODS)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Mejora de la reputación corporativa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Gestión sostenible de residuos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Aporte adicional al cumplimiento de la Ley REP</w:t>
      </w:r>
    </w:p>
    <w:p>
      <w:pPr>
        <w:pStyle w:val="Heading2"/>
        <w:spacing w:after="120" w:before="300"/>
      </w:pPr>
      <w:r>
        <w:rPr>
          <w:b/>
          <w:bCs/>
          <w:sz w:val="24"/>
          <w:szCs w:val="24"/>
        </w:rPr>
        <w:t xml:space="preserve">3.2 "Píldoras" bajo la frase destacada del Hero</w:t>
      </w:r>
    </w:p>
    <w:p>
      <w:pPr>
        <w:spacing w:after="80"/>
        <w:ind w:left="360"/>
      </w:pPr>
      <w:r>
        <w:rPr>
          <w:b/>
          <w:bCs/>
          <w:color w:val="666666"/>
        </w:rPr>
        <w:t xml:space="preserve">ANTES:  </w:t>
      </w:r>
      <w:r>
        <w:rPr>
          <w:i/>
          <w:iCs/>
        </w:rPr>
        <w:t xml:space="preserve">Economía Circular / REP / RSE / Innovación Educativa</w:t>
      </w:r>
    </w:p>
    <w:p>
      <w:pPr>
        <w:spacing w:after="80"/>
        <w:ind w:left="360"/>
      </w:pPr>
      <w:r>
        <w:rPr>
          <w:b/>
          <w:bCs/>
          <w:color w:val="2E7D32"/>
        </w:rPr>
        <w:t xml:space="preserve">NUEVO:  </w:t>
      </w:r>
      <w:r>
        <w:rPr>
          <w:b/>
          <w:bCs/>
        </w:rPr>
        <w:t xml:space="preserve">RSE / Economía Circular / Innovación Educativa / REP</w:t>
      </w:r>
    </w:p>
    <w:p>
      <w:pPr>
        <w:spacing w:after="200" w:before="60"/>
        <w:ind w:left="360"/>
      </w:pPr>
      <w:r>
        <w:rPr>
          <w:i/>
          <w:iCs/>
          <w:color w:val="666666"/>
          <w:sz w:val="20"/>
          <w:szCs w:val="20"/>
        </w:rPr>
        <w:t xml:space="preserve">RSE primero; REP al final.</w:t>
      </w:r>
    </w:p>
    <w:p>
      <w:pPr>
        <w:pStyle w:val="Heading1"/>
        <w:pBdr>
          <w:bottom w:val="single" w:color="2E7D32" w:sz="8" w:space="4"/>
        </w:pBdr>
        <w:spacing w:after="200" w:before="400"/>
      </w:pPr>
      <w:r>
        <w:rPr>
          <w:b/>
          <w:bCs/>
          <w:color w:val="2E7D32"/>
          <w:sz w:val="30"/>
          <w:szCs w:val="30"/>
        </w:rPr>
        <w:t xml:space="preserve">4. Contenido y secciones nuevas a construir</w:t>
      </w:r>
    </w:p>
    <w:p>
      <w:pPr>
        <w:pStyle w:val="Heading2"/>
        <w:spacing w:after="120" w:before="300"/>
      </w:pPr>
      <w:r>
        <w:rPr>
          <w:b/>
          <w:bCs/>
          <w:sz w:val="24"/>
          <w:szCs w:val="24"/>
        </w:rPr>
        <w:t xml:space="preserve">4.1 Nueva estructura completa de la página de Inicio (de arriba a abajo)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Hero — se mantiene, con el nuevo mensaje (ver 1.1).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"El problema" — se mantiene tal cual (ya es fuerte, con fuentes citadas).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"Así funciona el modelo" (5 pasos) — se mantiene, con tratamiento visual más diferenciado (ver 6.1).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NUEVO — "Trazabilidad total, certificada" (ver 4.2).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NUEVO — "Beneficios para tu empresa" (ver 4.3).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"Para Empresas / Para Instituciones" — se mantiene.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"Meta a 5 años" — se mantiene.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"Aliados y articulación institucional" — se mantiene.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Cierre / CTA final — se cambia (ver 1.2).</w:t>
      </w:r>
    </w:p>
    <w:p>
      <w:pPr>
        <w:pStyle w:val="Heading2"/>
        <w:spacing w:after="120" w:before="300"/>
      </w:pPr>
      <w:r>
        <w:rPr>
          <w:b/>
          <w:bCs/>
          <w:sz w:val="24"/>
          <w:szCs w:val="24"/>
        </w:rPr>
        <w:t xml:space="preserve">4.2 Nueva sección: "Trazabilidad total, certificada"</w:t>
      </w:r>
    </w:p>
    <w:p>
      <w:pPr>
        <w:spacing w:after="120"/>
      </w:pPr>
      <w:r>
        <w:t xml:space="preserve">Traer a Inicio la explicación de Kolekt que hoy solo está en Aliados (a 2 clics de profundidad), porque es una prueba de seriedad muy fuerte que casi nadie ve.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Kolekt es una empresa certificadora internacional de origen holandés.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Mención del certificado de recuperación.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Mención del sello con código QR.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Botón: "Ver niveles de alianza" (enlaza a Aliados).</w:t>
      </w:r>
    </w:p>
    <w:p>
      <w:pPr>
        <w:pStyle w:val="Heading2"/>
        <w:spacing w:after="120" w:before="300"/>
      </w:pPr>
      <w:r>
        <w:rPr>
          <w:b/>
          <w:bCs/>
          <w:sz w:val="24"/>
          <w:szCs w:val="24"/>
        </w:rPr>
        <w:t xml:space="preserve">4.3 Nueva sección: "Beneficios para tu empresa"</w:t>
      </w:r>
    </w:p>
    <w:p>
      <w:pPr>
        <w:spacing w:after="120"/>
      </w:pPr>
      <w:r>
        <w:t xml:space="preserve">Incluye la deducción tributaria como bloque visual propio, con el mismo tratamiento destacado que el recuadro de las "12 toneladas".</w:t>
      </w:r>
    </w:p>
    <w:p>
      <w:pPr>
        <w:spacing w:after="80"/>
        <w:ind w:left="360"/>
      </w:pPr>
      <w:r>
        <w:rPr>
          <w:b/>
          <w:bCs/>
          <w:color w:val="2E7D32"/>
        </w:rPr>
        <w:t xml:space="preserve">Recuadro destacado:  </w:t>
      </w:r>
      <w:r>
        <w:rPr>
          <w:b/>
          <w:bCs/>
        </w:rPr>
        <w:t xml:space="preserve">"Deducción tributaria habilitada desde hoy — aplica sobre donaciones en efectivo, residuos sólidos y otros aportes. Residuos que Educan ya cuenta con Resolución SUNAT como entidad perceptora de donaciones."</w:t>
      </w:r>
    </w:p>
    <w:p>
      <w:pPr>
        <w:spacing w:after="120"/>
      </w:pPr>
      <w:r>
        <w:t xml:space="preserve">Debajo: 3–4 beneficios principales en íconos — ESG/RSE, impacto medible, reputación, deducción tributaria.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Botón: "Ver todos los beneficios" (enlaza a Beneficios).</w:t>
      </w:r>
    </w:p>
    <w:p>
      <w:pPr>
        <w:pStyle w:val="Heading1"/>
        <w:pBdr>
          <w:bottom w:val="single" w:color="2E7D32" w:sz="8" w:space="4"/>
        </w:pBdr>
        <w:spacing w:after="200" w:before="400"/>
      </w:pPr>
      <w:r>
        <w:rPr>
          <w:b/>
          <w:bCs/>
          <w:color w:val="2E7D32"/>
          <w:sz w:val="30"/>
          <w:szCs w:val="30"/>
        </w:rPr>
        <w:t xml:space="preserve">5. Elementos multimedia pendientes</w:t>
      </w:r>
    </w:p>
    <w:p>
      <w:pPr>
        <w:pStyle w:val="Heading2"/>
        <w:spacing w:after="120" w:before="300"/>
      </w:pPr>
      <w:r>
        <w:rPr>
          <w:b/>
          <w:bCs/>
          <w:sz w:val="24"/>
          <w:szCs w:val="24"/>
        </w:rPr>
        <w:t xml:space="preserve">5.1 Campaña "Ojos por el Planeta"</w:t>
      </w:r>
    </w:p>
    <w:p>
      <w:pPr>
        <w:spacing w:after="120"/>
      </w:pPr>
      <w:r>
        <w:t xml:space="preserve">Dejar espacios/bloques de imagen listos en esta sección para incorporar fotos de la campaña (Jean enviará una foto de referencia).</w:t>
      </w:r>
    </w:p>
    <w:p>
      <w:pPr>
        <w:pStyle w:val="Heading2"/>
        <w:spacing w:after="120" w:before="300"/>
      </w:pPr>
      <w:r>
        <w:rPr>
          <w:b/>
          <w:bCs/>
          <w:sz w:val="24"/>
          <w:szCs w:val="24"/>
        </w:rPr>
        <w:t xml:space="preserve">5.2 Foto de perfil</w:t>
      </w:r>
    </w:p>
    <w:p>
      <w:pPr>
        <w:spacing w:after="120"/>
      </w:pPr>
      <w:r>
        <w:t xml:space="preserve">Colocar foto de Adolfo Quisocala en la sección donde aparece su información de contacto/equipo (foto pendiente de recibir).</w:t>
      </w:r>
    </w:p>
    <w:p>
      <w:pPr>
        <w:pStyle w:val="Heading1"/>
        <w:pBdr>
          <w:bottom w:val="single" w:color="2E7D32" w:sz="8" w:space="4"/>
        </w:pBdr>
        <w:spacing w:after="200" w:before="400"/>
      </w:pPr>
      <w:r>
        <w:rPr>
          <w:b/>
          <w:bCs/>
          <w:color w:val="2E7D32"/>
          <w:sz w:val="30"/>
          <w:szCs w:val="30"/>
        </w:rPr>
        <w:t xml:space="preserve">6. Datos de contacto</w:t>
      </w:r>
    </w:p>
    <w:p>
      <w:pPr>
        <w:pStyle w:val="Heading2"/>
        <w:spacing w:after="120" w:before="300"/>
      </w:pPr>
      <w:r>
        <w:rPr>
          <w:b/>
          <w:bCs/>
          <w:sz w:val="24"/>
          <w:szCs w:val="24"/>
        </w:rPr>
        <w:t xml:space="preserve">6.1 Eliminar número de teléfono</w:t>
      </w:r>
    </w:p>
    <w:p>
      <w:pPr>
        <w:spacing w:after="120"/>
      </w:pPr>
      <w:r>
        <w:t xml:space="preserve">Quitar el número telefónico de toda la web (es el número personal de Jean). Dejar, por ahora, solo el correo electrónico como medio de contacto.</w:t>
      </w:r>
    </w:p>
    <w:p>
      <w:pPr>
        <w:pStyle w:val="Heading1"/>
        <w:pBdr>
          <w:bottom w:val="single" w:color="2E7D32" w:sz="8" w:space="4"/>
        </w:pBdr>
        <w:spacing w:after="200" w:before="400"/>
      </w:pPr>
      <w:r>
        <w:rPr>
          <w:b/>
          <w:bCs/>
          <w:color w:val="2E7D32"/>
          <w:sz w:val="30"/>
          <w:szCs w:val="30"/>
        </w:rPr>
        <w:t xml:space="preserve">7. Notas de diseño / UX (no bloquean el resto de cambios)</w:t>
      </w:r>
    </w:p>
    <w:p>
      <w:pPr>
        <w:pStyle w:val="Heading2"/>
        <w:spacing w:after="120" w:before="300"/>
      </w:pPr>
      <w:r>
        <w:rPr>
          <w:b/>
          <w:bCs/>
          <w:sz w:val="24"/>
          <w:szCs w:val="24"/>
        </w:rPr>
        <w:t xml:space="preserve">7.1 Diferenciar visualmente los 3 ciclos de "5 pasos"</w:t>
      </w:r>
    </w:p>
    <w:p>
      <w:pPr>
        <w:spacing w:after="120"/>
      </w:pPr>
      <w:r>
        <w:t xml:space="preserve">En la página "Cómo Funciona" la secuencia de 5 pasos se repite tres veces (ciclo general, proceso para empresas, proceso para colegios) y al hacer scroll se siente repetido. Sugerencia: usar colores o íconos distintos para cada ciclo.</w:t>
      </w:r>
    </w:p>
    <w:p>
      <w:pPr>
        <w:pStyle w:val="Heading2"/>
        <w:spacing w:after="120" w:before="300"/>
      </w:pPr>
      <w:r>
        <w:rPr>
          <w:b/>
          <w:bCs/>
          <w:sz w:val="24"/>
          <w:szCs w:val="24"/>
        </w:rPr>
        <w:t xml:space="preserve">7.2 Dar más visibilidad al RUC y Resolución SUNAT</w:t>
      </w:r>
    </w:p>
    <w:p>
      <w:pPr>
        <w:spacing w:after="120"/>
      </w:pPr>
      <w:r>
        <w:t xml:space="preserve">Ya se muestran correctamente en el footer, lo cual da confianza. Sugerencia: destacarlos también cerca del CTA principal de empresas, ya que es lo primero que un área legal o de finanzas de una empresa grande busca verificar.</w:t>
      </w:r>
    </w:p>
    <w:p>
      <w:pPr>
        <w:pStyle w:val="Heading1"/>
        <w:pBdr>
          <w:bottom w:val="single" w:color="2E7D32" w:sz="8" w:space="4"/>
        </w:pBdr>
        <w:spacing w:after="200" w:before="400"/>
      </w:pPr>
      <w:r>
        <w:rPr>
          <w:b/>
          <w:bCs/>
          <w:color w:val="2E7D32"/>
          <w:sz w:val="30"/>
          <w:szCs w:val="30"/>
        </w:rPr>
        <w:t xml:space="preserve">8. Confirmado — sin cambios necesarios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Aliados, Nivel 1 "Aliado Recicla": el beneficio "Aporte base al cumplimiento de la Ley REP" se mantiene tal cual — ahí sí tiene sentido nombrarlo, porque es una lista de beneficios concretos, no el mensaje de entrada.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Sección "Kolekt" (trazabilidad): la mención técnica de REP no requiere cambios — es información de respaldo, no mensaje de venta.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Botón "Donar Residuos" del menú superior: revisado, funciona bien y lleva a la página de Aliados — no requiere cambios.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7"/>
    <w:lvlOverride w:ilvl="0">
      <w:startOverride w:val="1"/>
    </w:lvlOverride>
  </w:num>
  <w:num w:numId="7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2026-07-31T01:05:07.605Z</dcterms:created>
  <dcterms:modified xsi:type="dcterms:W3CDTF">2026-07-31T01:05:07.606Z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