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Arial" w:cs="Arial" w:eastAsia="Arial" w:hAnsi="Arial"/>
          <w:b/>
          <w:bCs/>
          <w:color w:val="1A1A1A"/>
          <w:sz w:val="26"/>
          <w:szCs w:val="26"/>
        </w:rPr>
        <w:t xml:space="preserve">OWNED BRANDS SALES INTELLIGENCE PLATFORM</w:t>
      </w:r>
    </w:p>
    <w:p>
      <w:pPr>
        <w:pBdr>
          <w:bottom w:val="single" w:color="1B7F4B" w:sz="12" w:space="4"/>
        </w:pBdr>
        <w:spacing w:after="0" w:before="20"/>
      </w:pPr>
      <w:r>
        <w:rPr>
          <w:rFonts w:ascii="Arial" w:cs="Arial" w:eastAsia="Arial" w:hAnsi="Arial"/>
          <w:b/>
          <w:bCs/>
          <w:color w:val="1B7F4B"/>
          <w:sz w:val="22"/>
          <w:szCs w:val="22"/>
        </w:rPr>
        <w:t xml:space="preserve">Owned Brands Datavers Brief</w:t>
      </w:r>
    </w:p>
    <w:p>
      <w:pPr>
        <w:spacing w:after="60" w:before="60"/>
      </w:pPr>
      <w:r>
        <w:rPr>
          <w:rFonts w:ascii="Arial" w:cs="Arial" w:eastAsia="Arial" w:hAnsi="Arial"/>
          <w:color w:val="5A5A5A"/>
          <w:sz w:val="16"/>
          <w:szCs w:val="16"/>
        </w:rPr>
        <w:t xml:space="preserve">Jeff Goodman   ·   Director, Sales, Owned Brands   ·   June 19, 2026   ·   Status: Discovery / prototype</w:t>
      </w:r>
    </w:p>
    <w:p>
      <w:pPr>
        <w:pBdr>
          <w:left w:val="single" w:color="1B7F4B" w:sz="18" w:space="8"/>
        </w:pBdr>
        <w:shd w:fill="EAF4EE" w:val="clear"/>
        <w:spacing w:after="70" w:before="30"/>
      </w:pPr>
      <w:r>
        <w:rPr>
          <w:rFonts w:ascii="Arial" w:cs="Arial" w:eastAsia="Arial" w:hAnsi="Arial"/>
          <w:b/>
          <w:bCs/>
          <w:color w:val="1A1A1A"/>
          <w:sz w:val="24"/>
          <w:szCs w:val="24"/>
        </w:rPr>
        <w:t xml:space="preserve">Give the Owned Brands team the signals to help WCO sellers win deals and hold margin.</w:t>
      </w:r>
    </w:p>
    <w:p>
      <w:pPr>
        <w:spacing w:after="36" w:before="140"/>
      </w:pPr>
      <w:r>
        <w:rPr>
          <w:rFonts w:ascii="Arial" w:cs="Arial" w:eastAsia="Arial" w:hAnsi="Arial"/>
          <w:b/>
          <w:bCs/>
          <w:color w:val="1B7F4B"/>
          <w:spacing w:val="20"/>
          <w:sz w:val="17"/>
          <w:szCs w:val="17"/>
        </w:rPr>
        <w:t xml:space="preserve">WHO WE ARE, AND WHAT’S MISSING</w:t>
      </w:r>
    </w:p>
    <w:p>
      <w:pPr>
        <w:pStyle w:val="ListParagraph"/>
        <w:numPr>
          <w:ilvl w:val="0"/>
          <w:numId w:val="2"/>
        </w:numPr>
        <w:spacing w:after="16"/>
      </w:pPr>
      <w:r>
        <w:rPr>
          <w:rFonts w:ascii="Arial" w:cs="Arial" w:eastAsia="Arial" w:hAnsi="Arial"/>
          <w:sz w:val="18"/>
          <w:szCs w:val="18"/>
        </w:rPr>
        <w:t xml:space="preserve">The Owned Brands (OB) sales team is WCO’s owned-brands </w:t>
      </w:r>
      <w:r>
        <w:rPr>
          <w:rFonts w:ascii="Arial" w:cs="Arial" w:eastAsia="Arial" w:hAnsi="Arial"/>
          <w:i/>
          <w:iCs/>
          <w:sz w:val="18"/>
          <w:szCs w:val="18"/>
        </w:rPr>
        <w:t xml:space="preserve">vendor</w:t>
      </w:r>
      <w:r>
        <w:rPr>
          <w:rFonts w:ascii="Arial" w:cs="Arial" w:eastAsia="Arial" w:hAnsi="Arial"/>
          <w:sz w:val="18"/>
          <w:szCs w:val="18"/>
        </w:rPr>
        <w:t xml:space="preserve"> team. Our job is to call on WCO sellers and select WCO customers and help them win.</w:t>
      </w:r>
    </w:p>
    <w:p>
      <w:pPr>
        <w:pStyle w:val="ListParagraph"/>
        <w:numPr>
          <w:ilvl w:val="0"/>
          <w:numId w:val="2"/>
        </w:numPr>
        <w:spacing w:after="16"/>
      </w:pPr>
      <w:r>
        <w:rPr>
          <w:rFonts w:ascii="Arial" w:cs="Arial" w:eastAsia="Arial" w:hAnsi="Arial"/>
          <w:sz w:val="18"/>
          <w:szCs w:val="18"/>
        </w:rPr>
        <w:t xml:space="preserve">Stronger signals would put us in the right place at the right time: which sellers are about to lose a deal they could win, and where competitive pressure or missing national-brand support is eroding margin.</w:t>
      </w:r>
    </w:p>
    <w:p>
      <w:pPr>
        <w:pStyle w:val="ListParagraph"/>
        <w:numPr>
          <w:ilvl w:val="0"/>
          <w:numId w:val="2"/>
        </w:numPr>
        <w:spacing w:after="16"/>
      </w:pPr>
      <w:r>
        <w:rPr>
          <w:rFonts w:ascii="Arial" w:cs="Arial" w:eastAsia="Arial" w:hAnsi="Arial"/>
          <w:sz w:val="18"/>
          <w:szCs w:val="18"/>
        </w:rPr>
        <w:t xml:space="preserve">WCO’s systems (CORE, USD) are built for the distributor, not the vendor lens. Tools built specifically for OB will lift win rate and margin organization-wide.</w:t>
      </w:r>
    </w:p>
    <w:p>
      <w:pPr>
        <w:spacing w:after="36" w:before="140"/>
      </w:pPr>
      <w:r>
        <w:rPr>
          <w:rFonts w:ascii="Arial" w:cs="Arial" w:eastAsia="Arial" w:hAnsi="Arial"/>
          <w:b/>
          <w:bCs/>
          <w:color w:val="1B7F4B"/>
          <w:spacing w:val="20"/>
          <w:sz w:val="17"/>
          <w:szCs w:val="17"/>
        </w:rPr>
        <w:t xml:space="preserve">THE VALUE LOOP, OUR NORTH STAR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10"/>
        <w:gridCol w:w="440"/>
        <w:gridCol w:w="2010"/>
        <w:gridCol w:w="440"/>
        <w:gridCol w:w="2010"/>
        <w:gridCol w:w="440"/>
        <w:gridCol w:w="2010"/>
      </w:tblGrid>
      <w:tr>
        <w:tc>
          <w:tcPr>
            <w:tcW w:type="dxa" w:w="2010"/>
            <w:tcBorders>
              <w:top w:val="none"/>
              <w:left w:val="none"/>
              <w:bottom w:val="none"/>
              <w:right w:val="none"/>
            </w:tcBorders>
            <w:shd w:fill="1B7F4B" w:val="clear"/>
            <w:tcMar>
              <w:top w:type="dxa" w:w="90"/>
              <w:left w:type="dxa" w:w="80"/>
              <w:bottom w:type="dxa" w:w="90"/>
              <w:right w:type="dxa" w:w="80"/>
            </w:tcMar>
            <w:vAlign w:val="center"/>
          </w:tcPr>
          <w:p>
            <w:pPr>
              <w:spacing w:after="0"/>
              <w:jc w:val="center"/>
            </w:pPr>
            <w:r>
              <w:rPr>
                <w:rFonts w:ascii="Arial" w:cs="Arial" w:eastAsia="Arial" w:hAnsi="Arial"/>
                <w:b/>
                <w:bCs/>
                <w:color w:val="FFFFFF"/>
                <w:sz w:val="16"/>
                <w:szCs w:val="16"/>
              </w:rPr>
              <w:t xml:space="preserve">Surface the signal</w:t>
            </w:r>
          </w:p>
        </w:tc>
        <w:tc>
          <w:tcPr>
            <w:tcW w:type="dxa" w:w="440"/>
            <w:tcBorders>
              <w:top w:val="none"/>
              <w:left w:val="none"/>
              <w:bottom w:val="none"/>
              <w:right w:val="none"/>
            </w:tcBorders>
            <w:vAlign w:val="center"/>
          </w:tcPr>
          <w:p>
            <w:pPr>
              <w:spacing w:after="0"/>
              <w:jc w:val="center"/>
            </w:pPr>
            <w:r>
              <w:rPr>
                <w:rFonts w:ascii="Arial" w:cs="Arial" w:eastAsia="Arial" w:hAnsi="Arial"/>
                <w:b/>
                <w:bCs/>
                <w:color w:val="1B7F4B"/>
                <w:sz w:val="22"/>
                <w:szCs w:val="22"/>
              </w:rPr>
              <w:t xml:space="preserve">→</w:t>
            </w:r>
          </w:p>
        </w:tc>
        <w:tc>
          <w:tcPr>
            <w:tcW w:type="dxa" w:w="2010"/>
            <w:tcBorders>
              <w:top w:val="none"/>
              <w:left w:val="none"/>
              <w:bottom w:val="none"/>
              <w:right w:val="none"/>
            </w:tcBorders>
            <w:shd w:fill="1B7F4B" w:val="clear"/>
            <w:tcMar>
              <w:top w:type="dxa" w:w="90"/>
              <w:left w:type="dxa" w:w="80"/>
              <w:bottom w:type="dxa" w:w="90"/>
              <w:right w:type="dxa" w:w="80"/>
            </w:tcMar>
            <w:vAlign w:val="center"/>
          </w:tcPr>
          <w:p>
            <w:pPr>
              <w:spacing w:after="0"/>
              <w:jc w:val="center"/>
            </w:pPr>
            <w:r>
              <w:rPr>
                <w:rFonts w:ascii="Arial" w:cs="Arial" w:eastAsia="Arial" w:hAnsi="Arial"/>
                <w:b/>
                <w:bCs/>
                <w:color w:val="FFFFFF"/>
                <w:sz w:val="16"/>
                <w:szCs w:val="16"/>
              </w:rPr>
              <w:t xml:space="preserve">Reach the right WCO seller / customer, at the right time</w:t>
            </w:r>
          </w:p>
        </w:tc>
        <w:tc>
          <w:tcPr>
            <w:tcW w:type="dxa" w:w="440"/>
            <w:tcBorders>
              <w:top w:val="none"/>
              <w:left w:val="none"/>
              <w:bottom w:val="none"/>
              <w:right w:val="none"/>
            </w:tcBorders>
            <w:vAlign w:val="center"/>
          </w:tcPr>
          <w:p>
            <w:pPr>
              <w:spacing w:after="0"/>
              <w:jc w:val="center"/>
            </w:pPr>
            <w:r>
              <w:rPr>
                <w:rFonts w:ascii="Arial" w:cs="Arial" w:eastAsia="Arial" w:hAnsi="Arial"/>
                <w:b/>
                <w:bCs/>
                <w:color w:val="1B7F4B"/>
                <w:sz w:val="22"/>
                <w:szCs w:val="22"/>
              </w:rPr>
              <w:t xml:space="preserve">→</w:t>
            </w:r>
          </w:p>
        </w:tc>
        <w:tc>
          <w:tcPr>
            <w:tcW w:type="dxa" w:w="2010"/>
            <w:tcBorders>
              <w:top w:val="none"/>
              <w:left w:val="none"/>
              <w:bottom w:val="none"/>
              <w:right w:val="none"/>
            </w:tcBorders>
            <w:shd w:fill="1B7F4B" w:val="clear"/>
            <w:tcMar>
              <w:top w:type="dxa" w:w="90"/>
              <w:left w:type="dxa" w:w="80"/>
              <w:bottom w:type="dxa" w:w="90"/>
              <w:right w:type="dxa" w:w="80"/>
            </w:tcMar>
            <w:vAlign w:val="center"/>
          </w:tcPr>
          <w:p>
            <w:pPr>
              <w:spacing w:after="0"/>
              <w:jc w:val="center"/>
            </w:pPr>
            <w:r>
              <w:rPr>
                <w:rFonts w:ascii="Arial" w:cs="Arial" w:eastAsia="Arial" w:hAnsi="Arial"/>
                <w:b/>
                <w:bCs/>
                <w:color w:val="FFFFFF"/>
                <w:sz w:val="16"/>
                <w:szCs w:val="16"/>
              </w:rPr>
              <w:t xml:space="preserve">Win the deal &amp; hold margin</w:t>
            </w:r>
          </w:p>
        </w:tc>
        <w:tc>
          <w:tcPr>
            <w:tcW w:type="dxa" w:w="440"/>
            <w:tcBorders>
              <w:top w:val="none"/>
              <w:left w:val="none"/>
              <w:bottom w:val="none"/>
              <w:right w:val="none"/>
            </w:tcBorders>
            <w:vAlign w:val="center"/>
          </w:tcPr>
          <w:p>
            <w:pPr>
              <w:spacing w:after="0"/>
              <w:jc w:val="center"/>
            </w:pPr>
            <w:r>
              <w:rPr>
                <w:rFonts w:ascii="Arial" w:cs="Arial" w:eastAsia="Arial" w:hAnsi="Arial"/>
                <w:b/>
                <w:bCs/>
                <w:color w:val="1B7F4B"/>
                <w:sz w:val="22"/>
                <w:szCs w:val="22"/>
              </w:rPr>
              <w:t xml:space="preserve">→</w:t>
            </w:r>
          </w:p>
        </w:tc>
        <w:tc>
          <w:tcPr>
            <w:tcW w:type="dxa" w:w="2010"/>
            <w:tcBorders>
              <w:top w:val="none"/>
              <w:left w:val="none"/>
              <w:bottom w:val="none"/>
              <w:right w:val="none"/>
            </w:tcBorders>
            <w:shd w:fill="1B7F4B" w:val="clear"/>
            <w:tcMar>
              <w:top w:type="dxa" w:w="90"/>
              <w:left w:type="dxa" w:w="80"/>
              <w:bottom w:type="dxa" w:w="90"/>
              <w:right w:type="dxa" w:w="80"/>
            </w:tcMar>
            <w:vAlign w:val="center"/>
          </w:tcPr>
          <w:p>
            <w:pPr>
              <w:spacing w:after="0"/>
              <w:jc w:val="center"/>
            </w:pPr>
            <w:r>
              <w:rPr>
                <w:rFonts w:ascii="Arial" w:cs="Arial" w:eastAsia="Arial" w:hAnsi="Arial"/>
                <w:b/>
                <w:bCs/>
                <w:color w:val="FFFFFF"/>
                <w:sz w:val="16"/>
                <w:szCs w:val="16"/>
              </w:rPr>
              <w:t xml:space="preserve">Growth</w:t>
            </w:r>
          </w:p>
        </w:tc>
      </w:tr>
    </w:tbl>
    <w:p>
      <w:pPr>
        <w:spacing w:after="36" w:before="140"/>
      </w:pPr>
      <w:r>
        <w:rPr>
          <w:rFonts w:ascii="Arial" w:cs="Arial" w:eastAsia="Arial" w:hAnsi="Arial"/>
          <w:b/>
          <w:bCs/>
          <w:color w:val="1B7F4B"/>
          <w:spacing w:val="20"/>
          <w:sz w:val="17"/>
          <w:szCs w:val="17"/>
        </w:rPr>
        <w:t xml:space="preserve">IN PRACTICE</w:t>
      </w:r>
    </w:p>
    <w:p>
      <w:pPr>
        <w:pBdr>
          <w:left w:val="single" w:color="1B7F4B" w:sz="18" w:space="10"/>
        </w:pBdr>
        <w:shd w:fill="F5F5F5" w:val="clear"/>
        <w:spacing w:after="0" w:before="60"/>
      </w:pPr>
      <w:r>
        <w:rPr>
          <w:rFonts w:ascii="Arial" w:cs="Arial" w:eastAsia="Arial" w:hAnsi="Arial"/>
          <w:b/>
          <w:bCs/>
          <w:color w:val="1B7F4B"/>
          <w:spacing w:val="14"/>
          <w:sz w:val="16"/>
          <w:szCs w:val="16"/>
        </w:rPr>
        <w:t xml:space="preserve">THE DEAL   </w:t>
      </w:r>
      <w:r>
        <w:rPr>
          <w:rFonts w:ascii="Arial" w:cs="Arial" w:eastAsia="Arial" w:hAnsi="Arial"/>
          <w:sz w:val="16"/>
          <w:szCs w:val="16"/>
        </w:rPr>
        <w:t xml:space="preserve">A WCO seller is bidding a security project (national-brand cameras, the rest of the BoM still open) with registered project pricing. A competing distributor bids the same cameras but pairs them with its own-brand cable; the extra cable margin lets it beat our total price. </w:t>
      </w:r>
      <w:r>
        <w:rPr>
          <w:rFonts w:ascii="Arial" w:cs="Arial" w:eastAsia="Arial" w:hAnsi="Arial"/>
          <w:b/>
          <w:bCs/>
          <w:color w:val="1B7F4B"/>
          <w:sz w:val="16"/>
          <w:szCs w:val="16"/>
        </w:rPr>
        <w:t xml:space="preserve">The platform flags this seller, and OB helps specify Owned Brands into the BoM, lifting margin and total price so WCO keeps the deal.</w:t>
      </w:r>
    </w:p>
    <w:p>
      <w:pPr>
        <w:spacing w:after="36" w:before="140"/>
      </w:pPr>
      <w:r>
        <w:rPr>
          <w:rFonts w:ascii="Arial" w:cs="Arial" w:eastAsia="Arial" w:hAnsi="Arial"/>
          <w:b/>
          <w:bCs/>
          <w:color w:val="1B7F4B"/>
          <w:spacing w:val="20"/>
          <w:sz w:val="17"/>
          <w:szCs w:val="17"/>
        </w:rPr>
        <w:t xml:space="preserve">WHY NOW</w:t>
      </w:r>
    </w:p>
    <w:p>
      <w:pPr>
        <w:pBdr>
          <w:left w:val="single" w:color="1B7F4B" w:sz="18" w:space="10"/>
        </w:pBdr>
        <w:shd w:fill="F5F5F5" w:val="clear"/>
        <w:spacing w:after="0" w:before="60"/>
      </w:pPr>
      <w:r>
        <w:rPr>
          <w:rFonts w:ascii="Arial" w:cs="Arial" w:eastAsia="Arial" w:hAnsi="Arial"/>
          <w:b/>
          <w:bCs/>
          <w:color w:val="1B7F4B"/>
          <w:spacing w:val="14"/>
          <w:sz w:val="16"/>
          <w:szCs w:val="16"/>
        </w:rPr>
        <w:t xml:space="preserve">MOMENTUM   </w:t>
      </w:r>
      <w:r>
        <w:rPr>
          <w:rFonts w:ascii="Arial" w:cs="Arial" w:eastAsia="Arial" w:hAnsi="Arial"/>
          <w:sz w:val="16"/>
          <w:szCs w:val="16"/>
        </w:rPr>
        <w:t xml:space="preserve">We just integrated the LCO sales organization, adding capability and aligning structure to OB’s mandate inside WCO. The team is built to execute; the missing piece is the toolset that lets it see around corners that are blind today. </w:t>
      </w:r>
      <w:r>
        <w:rPr>
          <w:rFonts w:ascii="Arial" w:cs="Arial" w:eastAsia="Arial" w:hAnsi="Arial"/>
          <w:b/>
          <w:bCs/>
          <w:color w:val="1B7F4B"/>
          <w:sz w:val="16"/>
          <w:szCs w:val="16"/>
        </w:rPr>
        <w:t xml:space="preserve">First-90-day target: identify and support 30 opportunities WCO would otherwise have lost.</w:t>
      </w:r>
    </w:p>
    <w:p>
      <w:pPr>
        <w:shd w:fill="1B7F4B" w:val="clear"/>
        <w:spacing w:after="0" w:before="70"/>
      </w:pPr>
      <w:r>
        <w:rPr>
          <w:rFonts w:ascii="Arial" w:cs="Arial" w:eastAsia="Arial" w:hAnsi="Arial"/>
          <w:b/>
          <w:bCs/>
          <w:color w:val="FFFFFF"/>
          <w:sz w:val="18"/>
          <w:szCs w:val="18"/>
        </w:rPr>
        <w:t xml:space="preserve">THE ASK   </w:t>
      </w:r>
      <w:r>
        <w:rPr>
          <w:rFonts w:ascii="Arial" w:cs="Arial" w:eastAsia="Arial" w:hAnsi="Arial"/>
          <w:color w:val="FFFFFF"/>
          <w:sz w:val="18"/>
          <w:szCs w:val="18"/>
        </w:rPr>
        <w:t xml:space="preserve">Approve read-only access to governed WCO sales data (incl. margin/cost) for the Owned Brands sales team only. No access provided outside of OB. Provision the Azure build environment and assign governance liaisons. Tooling and budget detail overleaf.</w:t>
      </w:r>
    </w:p>
    <w:p>
      <w:pPr>
        <w:spacing w:after="30" w:before="70"/>
      </w:pPr>
      <w:r>
        <w:rPr>
          <w:rFonts w:ascii="Arial" w:cs="Arial" w:eastAsia="Arial" w:hAnsi="Arial"/>
          <w:b/>
          <w:bCs/>
          <w:color w:val="1B7F4B"/>
          <w:spacing w:val="18"/>
          <w:sz w:val="16"/>
          <w:szCs w:val="16"/>
        </w:rPr>
        <w:t xml:space="preserve">ALREADY BUILT</w:t>
      </w:r>
      <w:r>
        <w:rPr>
          <w:rFonts w:ascii="Arial" w:cs="Arial" w:eastAsia="Arial" w:hAnsi="Arial"/>
          <w:i/>
          <w:iCs/>
          <w:color w:val="5A5A5A"/>
          <w:sz w:val="14"/>
          <w:szCs w:val="14"/>
        </w:rPr>
        <w:t xml:space="preserve">    Working two-persona wireframe (Leadership + Sales Team); sample data only. Proven UX, not a concept.</w:t>
      </w:r>
    </w:p>
    <w:p>
      <w:pPr>
        <w:pBdr>
          <w:top w:val="single" w:color="D9D9D9" w:sz="4" w:space="2"/>
          <w:bottom w:val="single" w:color="D9D9D9" w:sz="4" w:space="2"/>
          <w:left w:val="single" w:color="D9D9D9" w:sz="4" w:space="2"/>
          <w:right w:val="single" w:color="D9D9D9" w:sz="4" w:space="2"/>
        </w:pBdr>
        <w:spacing w:after="0" w:before="0"/>
        <w:jc w:val="center"/>
      </w:pPr>
      <w:r>
        <w:drawing>
          <wp:inline distT="0" distB="0" distL="0" distR="0">
            <wp:extent cx="4762500" cy="3305175"/>
            <wp:effectExtent t="0" r="0" b="0" l="0"/>
            <wp:docPr id="1" name="dashboard" descr="Working wireframe of the Owned Brands leadership dashboard" title="Leadership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05175"/>
                    </a:xfrm>
                    <a:prstGeom prst="rect">
                      <a:avLst/>
                    </a:prstGeom>
                  </pic:spPr>
                </pic:pic>
              </a:graphicData>
            </a:graphic>
          </wp:inline>
        </w:drawing>
      </w:r>
    </w:p>
    <w:p>
      <w:pPr>
        <w:pageBreakBefore/>
        <w:spacing w:after="0"/>
      </w:pPr>
      <w:r>
        <w:rPr>
          <w:rFonts w:ascii="Arial" w:cs="Arial" w:eastAsia="Arial" w:hAnsi="Arial"/>
          <w:b/>
          <w:bCs/>
          <w:color w:val="1B7F4B"/>
          <w:spacing w:val="20"/>
          <w:sz w:val="18"/>
          <w:szCs w:val="18"/>
        </w:rPr>
        <w:t xml:space="preserve">DEEPER DIVE</w:t>
      </w:r>
    </w:p>
    <w:p>
      <w:pPr>
        <w:pBdr>
          <w:bottom w:val="single" w:color="1B7F4B" w:sz="8" w:space="3"/>
        </w:pBdr>
        <w:spacing w:after="80" w:before="0"/>
      </w:pPr>
      <w:r>
        <w:rPr>
          <w:rFonts w:ascii="Arial" w:cs="Arial" w:eastAsia="Arial" w:hAnsi="Arial"/>
          <w:b/>
          <w:bCs/>
          <w:color w:val="1A1A1A"/>
          <w:sz w:val="22"/>
          <w:szCs w:val="22"/>
        </w:rPr>
        <w:t xml:space="preserve">Owned Brands Sales Intelligence Platform: the case in one page</w:t>
      </w:r>
    </w:p>
    <w:p>
      <w:pPr>
        <w:pBdr>
          <w:bottom w:val="single" w:color="D9D9D9" w:sz="4" w:space="2"/>
        </w:pBdr>
        <w:spacing w:after="22" w:before="88"/>
      </w:pPr>
      <w:r>
        <w:rPr>
          <w:rFonts w:ascii="Arial" w:cs="Arial" w:eastAsia="Arial" w:hAnsi="Arial"/>
          <w:b/>
          <w:bCs/>
          <w:color w:val="1A1A1A"/>
          <w:sz w:val="21"/>
          <w:szCs w:val="21"/>
        </w:rPr>
        <w:t xml:space="preserve">What’s missing: the signals to be the resource our sellers need</w:t>
      </w:r>
    </w:p>
    <w:p>
      <w:pPr>
        <w:spacing w:after="40"/>
      </w:pPr>
      <w:r>
        <w:rPr>
          <w:rFonts w:ascii="Arial" w:cs="Arial" w:eastAsia="Arial" w:hAnsi="Arial"/>
          <w:sz w:val="18"/>
          <w:szCs w:val="18"/>
        </w:rPr>
        <w:t xml:space="preserve">The Owned Brands team does not receive the signals that would flag sellers at risk of losing a winnable deal, or accounts losing margin to competitive pressure or a lack of national-brand support. With real-time insight into sales activity, we can calibrate our efforts to help WCO sellers win and grow margin.</w:t>
      </w:r>
    </w:p>
    <w:p>
      <w:pPr>
        <w:spacing w:after="40"/>
      </w:pPr>
      <w:r>
        <w:rPr>
          <w:rFonts w:ascii="Arial" w:cs="Arial" w:eastAsia="Arial" w:hAnsi="Arial"/>
          <w:sz w:val="18"/>
          <w:szCs w:val="18"/>
        </w:rPr>
        <w:t xml:space="preserve">As WCO’s owned-brands vendor team, our mandate is to call on WCO sellers and customers. Better data sharpens the signals that put us in the right place at the right time, lifting win rate and margin across the organization.</w:t>
      </w:r>
    </w:p>
    <w:p>
      <w:pPr>
        <w:pBdr>
          <w:bottom w:val="single" w:color="D9D9D9" w:sz="4" w:space="2"/>
        </w:pBdr>
        <w:spacing w:after="22" w:before="88"/>
      </w:pPr>
      <w:r>
        <w:rPr>
          <w:rFonts w:ascii="Arial" w:cs="Arial" w:eastAsia="Arial" w:hAnsi="Arial"/>
          <w:b/>
          <w:bCs/>
          <w:color w:val="1A1A1A"/>
          <w:sz w:val="21"/>
          <w:szCs w:val="21"/>
        </w:rPr>
        <w:t xml:space="preserve">Why our own systems can’t see it: the vendor blind spot</w:t>
      </w:r>
    </w:p>
    <w:p>
      <w:pPr>
        <w:spacing w:after="40"/>
      </w:pPr>
      <w:r>
        <w:rPr>
          <w:rFonts w:ascii="Arial" w:cs="Arial" w:eastAsia="Arial" w:hAnsi="Arial"/>
          <w:sz w:val="18"/>
          <w:szCs w:val="18"/>
        </w:rPr>
        <w:t xml:space="preserve">Our internal systems serve the distributor operating model. Owned Brands operates as a vendor inside a distributor, and the distributor is our primary customer. We need a distinct view of the data to maximize our value. The WCO seller is effectively our customer, yet engagement with a WCO seller is not tracked in USD.</w:t>
      </w:r>
    </w:p>
    <w:p>
      <w:pPr>
        <w:pBdr>
          <w:bottom w:val="single" w:color="D9D9D9" w:sz="4" w:space="2"/>
        </w:pBdr>
        <w:spacing w:after="22" w:before="88"/>
      </w:pPr>
      <w:r>
        <w:rPr>
          <w:rFonts w:ascii="Arial" w:cs="Arial" w:eastAsia="Arial" w:hAnsi="Arial"/>
          <w:b/>
          <w:bCs/>
          <w:color w:val="1A1A1A"/>
          <w:sz w:val="21"/>
          <w:szCs w:val="21"/>
        </w:rPr>
        <w:t xml:space="preserve">How it works: two tiers, one spine</w:t>
      </w:r>
    </w:p>
    <w:p>
      <w:pPr>
        <w:pStyle w:val="ListParagraph"/>
        <w:numPr>
          <w:ilvl w:val="0"/>
          <w:numId w:val="2"/>
        </w:numPr>
        <w:spacing w:after="16"/>
      </w:pPr>
      <w:r>
        <w:rPr>
          <w:rFonts w:ascii="Arial" w:cs="Arial" w:eastAsia="Arial" w:hAnsi="Arial"/>
          <w:sz w:val="18"/>
          <w:szCs w:val="18"/>
        </w:rPr>
        <w:t xml:space="preserve">Two tiers: </w:t>
      </w:r>
      <w:r>
        <w:rPr>
          <w:rFonts w:ascii="Arial" w:cs="Arial" w:eastAsia="Arial" w:hAnsi="Arial"/>
          <w:b/>
          <w:bCs/>
          <w:sz w:val="18"/>
          <w:szCs w:val="18"/>
        </w:rPr>
        <w:t xml:space="preserve">the WCO seller channel</w:t>
      </w:r>
      <w:r>
        <w:rPr>
          <w:rFonts w:ascii="Arial" w:cs="Arial" w:eastAsia="Arial" w:hAnsi="Arial"/>
          <w:sz w:val="18"/>
          <w:szCs w:val="18"/>
        </w:rPr>
        <w:t xml:space="preserve"> (push) and </w:t>
      </w:r>
      <w:r>
        <w:rPr>
          <w:rFonts w:ascii="Arial" w:cs="Arial" w:eastAsia="Arial" w:hAnsi="Arial"/>
          <w:b/>
          <w:bCs/>
          <w:sz w:val="18"/>
          <w:szCs w:val="18"/>
        </w:rPr>
        <w:t xml:space="preserve">WCO customers</w:t>
      </w:r>
      <w:r>
        <w:rPr>
          <w:rFonts w:ascii="Arial" w:cs="Arial" w:eastAsia="Arial" w:hAnsi="Arial"/>
          <w:sz w:val="18"/>
          <w:szCs w:val="18"/>
        </w:rPr>
        <w:t xml:space="preserve"> (pull).</w:t>
      </w:r>
    </w:p>
    <w:p>
      <w:pPr>
        <w:pStyle w:val="ListParagraph"/>
        <w:numPr>
          <w:ilvl w:val="0"/>
          <w:numId w:val="2"/>
        </w:numPr>
        <w:spacing w:after="16"/>
      </w:pPr>
      <w:r>
        <w:rPr>
          <w:rFonts w:ascii="Arial" w:cs="Arial" w:eastAsia="Arial" w:hAnsi="Arial"/>
          <w:sz w:val="18"/>
          <w:szCs w:val="18"/>
        </w:rPr>
        <w:t xml:space="preserve">The SKU is the spine: one detail view unifies sales, stock, opportunities, crosses, and activity.</w:t>
      </w:r>
    </w:p>
    <w:p>
      <w:pPr>
        <w:pStyle w:val="ListParagraph"/>
        <w:numPr>
          <w:ilvl w:val="0"/>
          <w:numId w:val="2"/>
        </w:numPr>
        <w:spacing w:after="16"/>
      </w:pPr>
      <w:r>
        <w:rPr>
          <w:rFonts w:ascii="Arial" w:cs="Arial" w:eastAsia="Arial" w:hAnsi="Arial"/>
          <w:sz w:val="18"/>
          <w:szCs w:val="18"/>
        </w:rPr>
        <w:t xml:space="preserve">Scope of engagements: </w:t>
      </w:r>
      <w:r>
        <w:rPr>
          <w:rFonts w:ascii="Arial" w:cs="Arial" w:eastAsia="Arial" w:hAnsi="Arial"/>
          <w:b/>
          <w:bCs/>
          <w:sz w:val="18"/>
          <w:szCs w:val="18"/>
        </w:rPr>
        <w:t xml:space="preserve">WCO sellers and select WCO customers</w:t>
      </w:r>
      <w:r>
        <w:rPr>
          <w:rFonts w:ascii="Arial" w:cs="Arial" w:eastAsia="Arial" w:hAnsi="Arial"/>
          <w:sz w:val="18"/>
          <w:szCs w:val="18"/>
        </w:rPr>
        <w:t xml:space="preserve">, in collaboration with the WCO seller.</w:t>
      </w:r>
    </w:p>
    <w:p>
      <w:pPr>
        <w:pBdr>
          <w:bottom w:val="single" w:color="D9D9D9" w:sz="4" w:space="2"/>
        </w:pBdr>
        <w:spacing w:after="22" w:before="88"/>
      </w:pPr>
      <w:r>
        <w:rPr>
          <w:rFonts w:ascii="Arial" w:cs="Arial" w:eastAsia="Arial" w:hAnsi="Arial"/>
          <w:b/>
          <w:bCs/>
          <w:color w:val="1A1A1A"/>
          <w:sz w:val="21"/>
          <w:szCs w:val="21"/>
        </w:rPr>
        <w:t xml:space="preserve">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9D9" w:sz="1"/>
              <w:left w:val="single" w:color="D9D9D9" w:sz="1"/>
              <w:bottom w:val="single" w:color="D9D9D9" w:sz="1"/>
              <w:right w:val="single" w:color="D9D9D9" w:sz="1"/>
            </w:tcBorders>
            <w:tcMar>
              <w:top w:type="dxa" w:w="40"/>
              <w:left w:type="dxa" w:w="110"/>
              <w:bottom w:type="dxa" w:w="40"/>
              <w:right w:type="dxa" w:w="110"/>
            </w:tcMar>
          </w:tcPr>
          <w:p>
            <w:pPr>
              <w:spacing w:after="0"/>
            </w:pPr>
            <w:r>
              <w:rPr>
                <w:rFonts w:ascii="Arial" w:cs="Arial" w:eastAsia="Arial" w:hAnsi="Arial"/>
                <w:b/>
                <w:bCs/>
                <w:sz w:val="17"/>
                <w:szCs w:val="17"/>
              </w:rPr>
              <w:t xml:space="preserve">Competitive product cross database</w:t>
            </w:r>
          </w:p>
        </w:tc>
        <w:tc>
          <w:tcPr>
            <w:tcW w:type="dxa" w:w="6760"/>
            <w:tcBorders>
              <w:top w:val="single" w:color="D9D9D9" w:sz="1"/>
              <w:left w:val="single" w:color="D9D9D9" w:sz="1"/>
              <w:bottom w:val="single" w:color="D9D9D9" w:sz="1"/>
              <w:right w:val="single" w:color="D9D9D9" w:sz="1"/>
            </w:tcBorders>
            <w:tcMar>
              <w:top w:type="dxa" w:w="40"/>
              <w:left w:type="dxa" w:w="110"/>
              <w:bottom w:type="dxa" w:w="40"/>
              <w:right w:type="dxa" w:w="110"/>
            </w:tcMar>
          </w:tcPr>
          <w:p>
            <w:pPr>
              <w:spacing w:after="0"/>
            </w:pPr>
            <w:r>
              <w:rPr>
                <w:rFonts w:ascii="Arial" w:cs="Arial" w:eastAsia="Arial" w:hAnsi="Arial"/>
                <w:sz w:val="17"/>
                <w:szCs w:val="17"/>
              </w:rPr>
              <w:t xml:space="preserve">Competitor part to owned-brand mapping; living, searchable, AI-extracted from datasheets. For OB enablement, not org-wide access.</w:t>
            </w:r>
          </w:p>
        </w:tc>
      </w:tr>
      <w:tr>
        <w:tc>
          <w:tcPr>
            <w:tcW w:type="dxa" w:w="2600"/>
            <w:tcBorders>
              <w:top w:val="single" w:color="D9D9D9" w:sz="1"/>
              <w:left w:val="single" w:color="D9D9D9" w:sz="1"/>
              <w:bottom w:val="single" w:color="D9D9D9" w:sz="1"/>
              <w:right w:val="single" w:color="D9D9D9" w:sz="1"/>
            </w:tcBorders>
            <w:shd w:fill="F5F5F5" w:val="clear"/>
            <w:tcMar>
              <w:top w:type="dxa" w:w="40"/>
              <w:left w:type="dxa" w:w="110"/>
              <w:bottom w:type="dxa" w:w="40"/>
              <w:right w:type="dxa" w:w="110"/>
            </w:tcMar>
          </w:tcPr>
          <w:p>
            <w:pPr>
              <w:spacing w:after="0"/>
            </w:pPr>
            <w:r>
              <w:rPr>
                <w:rFonts w:ascii="Arial" w:cs="Arial" w:eastAsia="Arial" w:hAnsi="Arial"/>
                <w:b/>
                <w:bCs/>
                <w:sz w:val="17"/>
                <w:szCs w:val="17"/>
              </w:rPr>
              <w:t xml:space="preserve">Signals + supply</w:t>
            </w:r>
          </w:p>
        </w:tc>
        <w:tc>
          <w:tcPr>
            <w:tcW w:type="dxa" w:w="6760"/>
            <w:tcBorders>
              <w:top w:val="single" w:color="D9D9D9" w:sz="1"/>
              <w:left w:val="single" w:color="D9D9D9" w:sz="1"/>
              <w:bottom w:val="single" w:color="D9D9D9" w:sz="1"/>
              <w:right w:val="single" w:color="D9D9D9" w:sz="1"/>
            </w:tcBorders>
            <w:shd w:fill="F5F5F5" w:val="clear"/>
            <w:tcMar>
              <w:top w:type="dxa" w:w="40"/>
              <w:left w:type="dxa" w:w="110"/>
              <w:bottom w:type="dxa" w:w="40"/>
              <w:right w:type="dxa" w:w="110"/>
            </w:tcMar>
          </w:tcPr>
          <w:p>
            <w:pPr>
              <w:spacing w:after="0"/>
            </w:pPr>
            <w:r>
              <w:rPr>
                <w:rFonts w:ascii="Arial" w:cs="Arial" w:eastAsia="Arial" w:hAnsi="Arial"/>
                <w:sz w:val="17"/>
                <w:szCs w:val="17"/>
              </w:rPr>
              <w:t xml:space="preserve">Where to show up: deals at risk and margin under pressure; pipeline-weighted demand forecast surfaces a stock signal.</w:t>
            </w:r>
          </w:p>
        </w:tc>
      </w:tr>
      <w:tr>
        <w:tc>
          <w:tcPr>
            <w:tcW w:type="dxa" w:w="2600"/>
            <w:tcBorders>
              <w:top w:val="single" w:color="D9D9D9" w:sz="1"/>
              <w:left w:val="single" w:color="D9D9D9" w:sz="1"/>
              <w:bottom w:val="single" w:color="D9D9D9" w:sz="1"/>
              <w:right w:val="single" w:color="D9D9D9" w:sz="1"/>
            </w:tcBorders>
            <w:tcMar>
              <w:top w:type="dxa" w:w="40"/>
              <w:left w:type="dxa" w:w="110"/>
              <w:bottom w:type="dxa" w:w="40"/>
              <w:right w:type="dxa" w:w="110"/>
            </w:tcMar>
          </w:tcPr>
          <w:p>
            <w:pPr>
              <w:spacing w:after="0"/>
            </w:pPr>
            <w:r>
              <w:rPr>
                <w:rFonts w:ascii="Arial" w:cs="Arial" w:eastAsia="Arial" w:hAnsi="Arial"/>
                <w:b/>
                <w:bCs/>
                <w:sz w:val="17"/>
                <w:szCs w:val="17"/>
              </w:rPr>
              <w:t xml:space="preserve">Vendor-lens CRM</w:t>
            </w:r>
          </w:p>
        </w:tc>
        <w:tc>
          <w:tcPr>
            <w:tcW w:type="dxa" w:w="6760"/>
            <w:tcBorders>
              <w:top w:val="single" w:color="D9D9D9" w:sz="1"/>
              <w:left w:val="single" w:color="D9D9D9" w:sz="1"/>
              <w:bottom w:val="single" w:color="D9D9D9" w:sz="1"/>
              <w:right w:val="single" w:color="D9D9D9" w:sz="1"/>
            </w:tcBorders>
            <w:tcMar>
              <w:top w:type="dxa" w:w="40"/>
              <w:left w:type="dxa" w:w="110"/>
              <w:bottom w:type="dxa" w:w="40"/>
              <w:right w:type="dxa" w:w="110"/>
            </w:tcMar>
          </w:tcPr>
          <w:p>
            <w:pPr>
              <w:spacing w:after="0"/>
            </w:pPr>
            <w:r>
              <w:rPr>
                <w:rFonts w:ascii="Arial" w:cs="Arial" w:eastAsia="Arial" w:hAnsi="Arial"/>
                <w:sz w:val="17"/>
                <w:szCs w:val="17"/>
              </w:rPr>
              <w:t xml:space="preserve">OB-generated opportunities, quotes, calls, visits, demos, hardware evals; tracks OB engagement with WCO sellers and customers (not captured in USD).</w:t>
            </w:r>
          </w:p>
        </w:tc>
      </w:tr>
      <w:tr>
        <w:tc>
          <w:tcPr>
            <w:tcW w:type="dxa" w:w="2600"/>
            <w:tcBorders>
              <w:top w:val="single" w:color="D9D9D9" w:sz="1"/>
              <w:left w:val="single" w:color="D9D9D9" w:sz="1"/>
              <w:bottom w:val="single" w:color="D9D9D9" w:sz="1"/>
              <w:right w:val="single" w:color="D9D9D9" w:sz="1"/>
            </w:tcBorders>
            <w:shd w:fill="F5F5F5" w:val="clear"/>
            <w:tcMar>
              <w:top w:type="dxa" w:w="40"/>
              <w:left w:type="dxa" w:w="110"/>
              <w:bottom w:type="dxa" w:w="40"/>
              <w:right w:type="dxa" w:w="110"/>
            </w:tcMar>
          </w:tcPr>
          <w:p>
            <w:pPr>
              <w:spacing w:after="0"/>
            </w:pPr>
            <w:r>
              <w:rPr>
                <w:rFonts w:ascii="Arial" w:cs="Arial" w:eastAsia="Arial" w:hAnsi="Arial"/>
                <w:b/>
                <w:bCs/>
                <w:sz w:val="17"/>
                <w:szCs w:val="17"/>
              </w:rPr>
              <w:t xml:space="preserve">AI layer</w:t>
            </w:r>
          </w:p>
        </w:tc>
        <w:tc>
          <w:tcPr>
            <w:tcW w:type="dxa" w:w="6760"/>
            <w:tcBorders>
              <w:top w:val="single" w:color="D9D9D9" w:sz="1"/>
              <w:left w:val="single" w:color="D9D9D9" w:sz="1"/>
              <w:bottom w:val="single" w:color="D9D9D9" w:sz="1"/>
              <w:right w:val="single" w:color="D9D9D9" w:sz="1"/>
            </w:tcBorders>
            <w:shd w:fill="F5F5F5" w:val="clear"/>
            <w:tcMar>
              <w:top w:type="dxa" w:w="40"/>
              <w:left w:type="dxa" w:w="110"/>
              <w:bottom w:type="dxa" w:w="40"/>
              <w:right w:type="dxa" w:w="110"/>
            </w:tcMar>
          </w:tcPr>
          <w:p>
            <w:pPr>
              <w:spacing w:after="0"/>
            </w:pPr>
            <w:r>
              <w:rPr>
                <w:rFonts w:ascii="Arial" w:cs="Arial" w:eastAsia="Arial" w:hAnsi="Arial"/>
                <w:sz w:val="17"/>
                <w:szCs w:val="17"/>
              </w:rPr>
              <w:t xml:space="preserve">Email-drop to structured records; opportunity-loss tracking; product-development signals; natural-language leadership dashboard; in-tenant only.</w:t>
            </w:r>
          </w:p>
        </w:tc>
      </w:tr>
    </w:tbl>
    <w:p>
      <w:pPr>
        <w:pBdr>
          <w:bottom w:val="single" w:color="D9D9D9" w:sz="4" w:space="2"/>
        </w:pBdr>
        <w:spacing w:after="22" w:before="88"/>
      </w:pPr>
      <w:r>
        <w:rPr>
          <w:rFonts w:ascii="Arial" w:cs="Arial" w:eastAsia="Arial" w:hAnsi="Arial"/>
          <w:b/>
          <w:bCs/>
          <w:color w:val="1A1A1A"/>
          <w:sz w:val="21"/>
          <w:szCs w:val="21"/>
        </w:rPr>
        <w:t xml:space="preserve">Architecture &amp; governance</w:t>
      </w:r>
    </w:p>
    <w:p>
      <w:pPr>
        <w:pStyle w:val="ListParagraph"/>
        <w:numPr>
          <w:ilvl w:val="0"/>
          <w:numId w:val="2"/>
        </w:numPr>
        <w:spacing w:after="16"/>
      </w:pPr>
      <w:r>
        <w:rPr>
          <w:rFonts w:ascii="Arial" w:cs="Arial" w:eastAsia="Arial" w:hAnsi="Arial"/>
          <w:sz w:val="18"/>
          <w:szCs w:val="18"/>
        </w:rPr>
        <w:t xml:space="preserve">Hosting: Azure-native (App Service / Functions; Azure SQL for the isolated app database).</w:t>
      </w:r>
    </w:p>
    <w:p>
      <w:pPr>
        <w:pStyle w:val="ListParagraph"/>
        <w:numPr>
          <w:ilvl w:val="0"/>
          <w:numId w:val="2"/>
        </w:numPr>
        <w:spacing w:after="16"/>
      </w:pPr>
      <w:r>
        <w:rPr>
          <w:rFonts w:ascii="Arial" w:cs="Arial" w:eastAsia="Arial" w:hAnsi="Arial"/>
          <w:sz w:val="18"/>
          <w:szCs w:val="18"/>
        </w:rPr>
        <w:t xml:space="preserve">Identity &amp; access: Entra ID SSO, application RBAC, territory row-level security mirroring Power BI RLS. Margin/cost confined to the authorized OB group.</w:t>
      </w:r>
    </w:p>
    <w:p>
      <w:pPr>
        <w:pStyle w:val="ListParagraph"/>
        <w:numPr>
          <w:ilvl w:val="0"/>
          <w:numId w:val="2"/>
        </w:numPr>
        <w:spacing w:after="16"/>
      </w:pPr>
      <w:r>
        <w:rPr>
          <w:rFonts w:ascii="Arial" w:cs="Arial" w:eastAsia="Arial" w:hAnsi="Arial"/>
          <w:sz w:val="18"/>
          <w:szCs w:val="18"/>
        </w:rPr>
        <w:t xml:space="preserve">Reporting &amp; AI: embedded certified Power BI (no dataset duplication); Azure OpenAI within the Microsoft boundary; sales and margin/cost handled as Confidential.</w:t>
      </w:r>
    </w:p>
    <w:p>
      <w:pPr>
        <w:pBdr>
          <w:bottom w:val="single" w:color="D9D9D9" w:sz="4" w:space="2"/>
        </w:pBdr>
        <w:spacing w:after="22" w:before="88"/>
      </w:pPr>
      <w:r>
        <w:rPr>
          <w:rFonts w:ascii="Arial" w:cs="Arial" w:eastAsia="Arial" w:hAnsi="Arial"/>
          <w:b/>
          <w:bCs/>
          <w:color w:val="1A1A1A"/>
          <w:sz w:val="21"/>
          <w:szCs w:val="21"/>
        </w:rPr>
        <w:t xml:space="preserve">Risk boundaries: what we are NOT doing</w:t>
      </w:r>
    </w:p>
    <w:p>
      <w:pPr>
        <w:spacing w:after="30"/>
      </w:pPr>
      <w:r>
        <w:rPr>
          <w:rFonts w:ascii="Arial" w:cs="Arial" w:eastAsia="Arial" w:hAnsi="Arial"/>
          <w:sz w:val="18"/>
          <w:szCs w:val="18"/>
        </w:rPr>
        <w:t xml:space="preserve">No write/update/delete to CORE, USD, or any system of record   ·   no direct production-DB connectivity   ·   no duplication or ownership of WCO data   ·   no access outside the OB sales team   ·   no egress outside the Microsoft / Azure boundary.</w:t>
      </w:r>
    </w:p>
    <w:p>
      <w:pPr>
        <w:pBdr>
          <w:bottom w:val="single" w:color="D9D9D9" w:sz="4" w:space="2"/>
        </w:pBdr>
        <w:spacing w:after="22" w:before="88"/>
      </w:pPr>
      <w:r>
        <w:rPr>
          <w:rFonts w:ascii="Arial" w:cs="Arial" w:eastAsia="Arial" w:hAnsi="Arial"/>
          <w:b/>
          <w:bCs/>
          <w:color w:val="1A1A1A"/>
          <w:sz w:val="21"/>
          <w:szCs w:val="21"/>
        </w:rPr>
        <w:t xml:space="preserve">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9D9" w:sz="1"/>
              <w:left w:val="single" w:color="D9D9D9" w:sz="1"/>
              <w:bottom w:val="single" w:color="D9D9D9" w:sz="1"/>
              <w:right w:val="single" w:color="D9D9D9" w:sz="1"/>
            </w:tcBorders>
            <w:tcMar>
              <w:top w:type="dxa" w:w="40"/>
              <w:left w:type="dxa" w:w="110"/>
              <w:bottom w:type="dxa" w:w="40"/>
              <w:right w:type="dxa" w:w="110"/>
            </w:tcMar>
          </w:tcPr>
          <w:p>
            <w:pPr>
              <w:spacing w:after="0"/>
            </w:pPr>
            <w:r>
              <w:rPr>
                <w:rFonts w:ascii="Arial" w:cs="Arial" w:eastAsia="Arial" w:hAnsi="Arial"/>
                <w:b/>
                <w:bCs/>
                <w:sz w:val="17"/>
                <w:szCs w:val="17"/>
              </w:rPr>
              <w:t xml:space="preserve">Phase 0 (now)</w:t>
            </w:r>
          </w:p>
        </w:tc>
        <w:tc>
          <w:tcPr>
            <w:tcW w:type="dxa" w:w="6760"/>
            <w:tcBorders>
              <w:top w:val="single" w:color="D9D9D9" w:sz="1"/>
              <w:left w:val="single" w:color="D9D9D9" w:sz="1"/>
              <w:bottom w:val="single" w:color="D9D9D9" w:sz="1"/>
              <w:right w:val="single" w:color="D9D9D9" w:sz="1"/>
            </w:tcBorders>
            <w:tcMar>
              <w:top w:type="dxa" w:w="40"/>
              <w:left w:type="dxa" w:w="110"/>
              <w:bottom w:type="dxa" w:w="40"/>
              <w:right w:type="dxa" w:w="110"/>
            </w:tcMar>
          </w:tcPr>
          <w:p>
            <w:pPr>
              <w:spacing w:after="0"/>
            </w:pPr>
            <w:r>
              <w:rPr>
                <w:rFonts w:ascii="Arial" w:cs="Arial" w:eastAsia="Arial" w:hAnsi="Arial"/>
                <w:sz w:val="17"/>
                <w:szCs w:val="17"/>
              </w:rPr>
              <w:t xml:space="preserve">Scoping, prototype wireframe, access one-pager, systems discovery (in progress).</w:t>
            </w:r>
          </w:p>
        </w:tc>
      </w:tr>
      <w:tr>
        <w:tc>
          <w:tcPr>
            <w:tcW w:type="dxa" w:w="2600"/>
            <w:tcBorders>
              <w:top w:val="single" w:color="D9D9D9" w:sz="1"/>
              <w:left w:val="single" w:color="D9D9D9" w:sz="1"/>
              <w:bottom w:val="single" w:color="D9D9D9" w:sz="1"/>
              <w:right w:val="single" w:color="D9D9D9" w:sz="1"/>
            </w:tcBorders>
            <w:shd w:fill="F5F5F5" w:val="clear"/>
            <w:tcMar>
              <w:top w:type="dxa" w:w="40"/>
              <w:left w:type="dxa" w:w="110"/>
              <w:bottom w:type="dxa" w:w="40"/>
              <w:right w:type="dxa" w:w="110"/>
            </w:tcMar>
          </w:tcPr>
          <w:p>
            <w:pPr>
              <w:spacing w:after="0"/>
            </w:pPr>
            <w:r>
              <w:rPr>
                <w:rFonts w:ascii="Arial" w:cs="Arial" w:eastAsia="Arial" w:hAnsi="Arial"/>
                <w:b/>
                <w:bCs/>
                <w:sz w:val="17"/>
                <w:szCs w:val="17"/>
              </w:rPr>
              <w:t xml:space="preserve">Phase 1</w:t>
            </w:r>
          </w:p>
        </w:tc>
        <w:tc>
          <w:tcPr>
            <w:tcW w:type="dxa" w:w="6760"/>
            <w:tcBorders>
              <w:top w:val="single" w:color="D9D9D9" w:sz="1"/>
              <w:left w:val="single" w:color="D9D9D9" w:sz="1"/>
              <w:bottom w:val="single" w:color="D9D9D9" w:sz="1"/>
              <w:right w:val="single" w:color="D9D9D9" w:sz="1"/>
            </w:tcBorders>
            <w:shd w:fill="F5F5F5" w:val="clear"/>
            <w:tcMar>
              <w:top w:type="dxa" w:w="40"/>
              <w:left w:type="dxa" w:w="110"/>
              <w:bottom w:type="dxa" w:w="40"/>
              <w:right w:type="dxa" w:w="110"/>
            </w:tcMar>
          </w:tcPr>
          <w:p>
            <w:pPr>
              <w:spacing w:after="0"/>
            </w:pPr>
            <w:r>
              <w:rPr>
                <w:rFonts w:ascii="Arial" w:cs="Arial" w:eastAsia="Arial" w:hAnsi="Arial"/>
                <w:sz w:val="17"/>
                <w:szCs w:val="17"/>
              </w:rPr>
              <w:t xml:space="preserve">Secure read-only access approval; confirm mechanism with the Data Office.</w:t>
            </w:r>
          </w:p>
        </w:tc>
      </w:tr>
      <w:tr>
        <w:tc>
          <w:tcPr>
            <w:tcW w:type="dxa" w:w="2600"/>
            <w:tcBorders>
              <w:top w:val="single" w:color="D9D9D9" w:sz="1"/>
              <w:left w:val="single" w:color="D9D9D9" w:sz="1"/>
              <w:bottom w:val="single" w:color="D9D9D9" w:sz="1"/>
              <w:right w:val="single" w:color="D9D9D9" w:sz="1"/>
            </w:tcBorders>
            <w:tcMar>
              <w:top w:type="dxa" w:w="40"/>
              <w:left w:type="dxa" w:w="110"/>
              <w:bottom w:type="dxa" w:w="40"/>
              <w:right w:type="dxa" w:w="110"/>
            </w:tcMar>
          </w:tcPr>
          <w:p>
            <w:pPr>
              <w:spacing w:after="0"/>
            </w:pPr>
            <w:r>
              <w:rPr>
                <w:rFonts w:ascii="Arial" w:cs="Arial" w:eastAsia="Arial" w:hAnsi="Arial"/>
                <w:b/>
                <w:bCs/>
                <w:sz w:val="17"/>
                <w:szCs w:val="17"/>
              </w:rPr>
              <w:t xml:space="preserve">Phase 2</w:t>
            </w:r>
          </w:p>
        </w:tc>
        <w:tc>
          <w:tcPr>
            <w:tcW w:type="dxa" w:w="6760"/>
            <w:tcBorders>
              <w:top w:val="single" w:color="D9D9D9" w:sz="1"/>
              <w:left w:val="single" w:color="D9D9D9" w:sz="1"/>
              <w:bottom w:val="single" w:color="D9D9D9" w:sz="1"/>
              <w:right w:val="single" w:color="D9D9D9" w:sz="1"/>
            </w:tcBorders>
            <w:tcMar>
              <w:top w:type="dxa" w:w="40"/>
              <w:left w:type="dxa" w:w="110"/>
              <w:bottom w:type="dxa" w:w="40"/>
              <w:right w:type="dxa" w:w="110"/>
            </w:tcMar>
          </w:tcPr>
          <w:p>
            <w:pPr>
              <w:spacing w:after="0"/>
            </w:pPr>
            <w:r>
              <w:rPr>
                <w:rFonts w:ascii="Arial" w:cs="Arial" w:eastAsia="Arial" w:hAnsi="Arial"/>
                <w:sz w:val="17"/>
                <w:szCs w:val="17"/>
              </w:rPr>
              <w:t xml:space="preserve">Build production on Azure: data-access layer, app DB, identity, embedded Power BI.</w:t>
            </w:r>
          </w:p>
        </w:tc>
      </w:tr>
      <w:tr>
        <w:tc>
          <w:tcPr>
            <w:tcW w:type="dxa" w:w="2600"/>
            <w:tcBorders>
              <w:top w:val="single" w:color="D9D9D9" w:sz="1"/>
              <w:left w:val="single" w:color="D9D9D9" w:sz="1"/>
              <w:bottom w:val="single" w:color="D9D9D9" w:sz="1"/>
              <w:right w:val="single" w:color="D9D9D9" w:sz="1"/>
            </w:tcBorders>
            <w:shd w:fill="F5F5F5" w:val="clear"/>
            <w:tcMar>
              <w:top w:type="dxa" w:w="40"/>
              <w:left w:type="dxa" w:w="110"/>
              <w:bottom w:type="dxa" w:w="40"/>
              <w:right w:type="dxa" w:w="110"/>
            </w:tcMar>
          </w:tcPr>
          <w:p>
            <w:pPr>
              <w:spacing w:after="0"/>
            </w:pPr>
            <w:r>
              <w:rPr>
                <w:rFonts w:ascii="Arial" w:cs="Arial" w:eastAsia="Arial" w:hAnsi="Arial"/>
                <w:b/>
                <w:bCs/>
                <w:sz w:val="17"/>
                <w:szCs w:val="17"/>
              </w:rPr>
              <w:t xml:space="preserve">Phase 3 → 4</w:t>
            </w:r>
          </w:p>
        </w:tc>
        <w:tc>
          <w:tcPr>
            <w:tcW w:type="dxa" w:w="6760"/>
            <w:tcBorders>
              <w:top w:val="single" w:color="D9D9D9" w:sz="1"/>
              <w:left w:val="single" w:color="D9D9D9" w:sz="1"/>
              <w:bottom w:val="single" w:color="D9D9D9" w:sz="1"/>
              <w:right w:val="single" w:color="D9D9D9" w:sz="1"/>
            </w:tcBorders>
            <w:shd w:fill="F5F5F5" w:val="clear"/>
            <w:tcMar>
              <w:top w:type="dxa" w:w="40"/>
              <w:left w:type="dxa" w:w="110"/>
              <w:bottom w:type="dxa" w:w="40"/>
              <w:right w:type="dxa" w:w="110"/>
            </w:tcMar>
          </w:tcPr>
          <w:p>
            <w:pPr>
              <w:spacing w:after="0"/>
            </w:pPr>
            <w:r>
              <w:rPr>
                <w:rFonts w:ascii="Arial" w:cs="Arial" w:eastAsia="Arial" w:hAnsi="Arial"/>
                <w:sz w:val="17"/>
                <w:szCs w:val="17"/>
              </w:rPr>
              <w:t xml:space="preserve">AI layer (email-drop, datasheet crosses, NL query); rollout, education &amp; sales-plan outputs.</w:t>
            </w:r>
          </w:p>
        </w:tc>
      </w:tr>
    </w:tbl>
    <w:p>
      <w:pPr>
        <w:pBdr>
          <w:bottom w:val="single" w:color="D9D9D9" w:sz="4" w:space="2"/>
        </w:pBdr>
        <w:spacing w:after="22" w:before="88"/>
      </w:pPr>
      <w:r>
        <w:rPr>
          <w:rFonts w:ascii="Arial" w:cs="Arial" w:eastAsia="Arial" w:hAnsi="Arial"/>
          <w:b/>
          <w:bCs/>
          <w:color w:val="1A1A1A"/>
          <w:sz w:val="21"/>
          <w:szCs w:val="21"/>
        </w:rPr>
        <w:t xml:space="preserve">The Ask</w:t>
      </w:r>
    </w:p>
    <w:p>
      <w:pPr>
        <w:pStyle w:val="ListParagraph"/>
        <w:numPr>
          <w:ilvl w:val="0"/>
          <w:numId w:val="2"/>
        </w:numPr>
        <w:spacing w:after="16"/>
      </w:pPr>
      <w:r>
        <w:rPr>
          <w:rFonts w:ascii="Arial" w:cs="Arial" w:eastAsia="Arial" w:hAnsi="Arial"/>
          <w:b/>
          <w:bCs/>
          <w:sz w:val="18"/>
          <w:szCs w:val="18"/>
        </w:rPr>
        <w:t xml:space="preserve">Read-only data access: </w:t>
      </w:r>
      <w:r>
        <w:rPr>
          <w:rFonts w:ascii="Arial" w:cs="Arial" w:eastAsia="Arial" w:hAnsi="Arial"/>
          <w:sz w:val="18"/>
          <w:szCs w:val="18"/>
        </w:rPr>
        <w:t xml:space="preserve">via governed datasets, certified Power BI, or the API layer (sales incl. margin/cost, open orders &amp; backlog, quotes/bids, account/contact/SKU master, inventory). Defined user group: the Owned Brands sales team only. No access provided outside of OB.</w:t>
      </w:r>
    </w:p>
    <w:p>
      <w:pPr>
        <w:pStyle w:val="ListParagraph"/>
        <w:numPr>
          <w:ilvl w:val="0"/>
          <w:numId w:val="2"/>
        </w:numPr>
        <w:spacing w:after="16"/>
      </w:pPr>
      <w:r>
        <w:rPr>
          <w:rFonts w:ascii="Arial" w:cs="Arial" w:eastAsia="Arial" w:hAnsi="Arial"/>
          <w:b/>
          <w:bCs/>
          <w:sz w:val="18"/>
          <w:szCs w:val="18"/>
        </w:rPr>
        <w:t xml:space="preserve">Azure environment: </w:t>
      </w:r>
      <w:r>
        <w:rPr>
          <w:rFonts w:ascii="Arial" w:cs="Arial" w:eastAsia="Arial" w:hAnsi="Arial"/>
          <w:sz w:val="18"/>
          <w:szCs w:val="18"/>
        </w:rPr>
        <w:t xml:space="preserve">subscription/resource group under WCO governance; Entra ID app registration; Azure OpenAI in-tenant; Power BI workspace + certified-dataset read access.</w:t>
      </w:r>
    </w:p>
    <w:p>
      <w:pPr>
        <w:pStyle w:val="ListParagraph"/>
        <w:numPr>
          <w:ilvl w:val="0"/>
          <w:numId w:val="2"/>
        </w:numPr>
        <w:spacing w:after="16"/>
      </w:pPr>
      <w:r>
        <w:rPr>
          <w:rFonts w:ascii="Arial" w:cs="Arial" w:eastAsia="Arial" w:hAnsi="Arial"/>
          <w:b/>
          <w:bCs/>
          <w:sz w:val="18"/>
          <w:szCs w:val="18"/>
        </w:rPr>
        <w:t xml:space="preserve">Governance liaisons: </w:t>
      </w:r>
      <w:r>
        <w:rPr>
          <w:rFonts w:ascii="Arial" w:cs="Arial" w:eastAsia="Arial" w:hAnsi="Arial"/>
          <w:sz w:val="18"/>
          <w:szCs w:val="18"/>
        </w:rPr>
        <w:t xml:space="preserve">named contacts from Data Office, BI Governance, Cloud Engineering, and IT Security; confirmation of the access workflow and margin/cost classification.</w:t>
      </w:r>
    </w:p>
    <w:p>
      <w:pPr>
        <w:pStyle w:val="ListParagraph"/>
        <w:numPr>
          <w:ilvl w:val="0"/>
          <w:numId w:val="2"/>
        </w:numPr>
        <w:spacing w:after="16"/>
      </w:pPr>
      <w:r>
        <w:rPr>
          <w:rFonts w:ascii="Arial" w:cs="Arial" w:eastAsia="Arial" w:hAnsi="Arial"/>
          <w:b/>
          <w:bCs/>
          <w:sz w:val="18"/>
          <w:szCs w:val="18"/>
        </w:rPr>
        <w:t xml:space="preserve">Developer tooling &amp; hardware: </w:t>
      </w:r>
      <w:r>
        <w:rPr>
          <w:rFonts w:ascii="Arial" w:cs="Arial" w:eastAsia="Arial" w:hAnsi="Arial"/>
          <w:sz w:val="18"/>
          <w:szCs w:val="18"/>
        </w:rPr>
        <w:t xml:space="preserve">one MacBook Pro (or equivalent) as the primary dev workstation; sandbox access to Claude Code; standard dev licensing; incremental Azure consumption budget for the build phase, TBD with Cloud Engineering.</w:t>
      </w:r>
    </w:p>
    <w:p>
      <w:pPr>
        <w:spacing w:before="30"/>
      </w:pPr>
      <w:r>
        <w:rPr>
          <w:rFonts w:ascii="Arial" w:cs="Arial" w:eastAsia="Arial" w:hAnsi="Arial"/>
          <w:i/>
          <w:iCs/>
          <w:color w:val="5A5A5A"/>
          <w:sz w:val="16"/>
          <w:szCs w:val="16"/>
        </w:rPr>
        <w:t xml:space="preserve">Execution is solo: I build and operate the platform as the sole developer; no additional headcount requested.</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4"/>
        <w:szCs w:val="14"/>
      </w:rPr>
      <w:t xml:space="preserve">Owned Brands Datavers Brief · Confidential / Internal · </w:t>
    </w:r>
    <w:r>
      <w:rPr>
        <w:rFonts w:ascii="Arial" w:cs="Arial" w:eastAsia="Arial" w:hAnsi="Arial"/>
        <w:color w:val="5A5A5A"/>
        <w:sz w:val="14"/>
        <w:szCs w:val="14"/>
      </w:rPr>
      <w:fldChar w:fldCharType="begin"/>
      <w:instrText xml:space="preserve">PAGE</w:instrText>
      <w:fldChar w:fldCharType="separate"/>
      <w:fldChar w:fldCharType="end"/>
    </w:r>
    <w:r>
      <w:rPr>
        <w:rFonts w:ascii="Arial" w:cs="Arial" w:eastAsia="Arial" w:hAnsi="Arial"/>
        <w:color w:val="5A5A5A"/>
        <w:sz w:val="14"/>
        <w:szCs w:val="14"/>
      </w:rPr>
      <w:t xml:space="preserve"> of </w:t>
    </w:r>
    <w:r>
      <w:rPr>
        <w:rFonts w:ascii="Arial" w:cs="Arial" w:eastAsia="Arial" w:hAnsi="Arial"/>
        <w:color w:val="5A5A5A"/>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1B7F4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0ecaafd9920ddb4a675a554114905d2926a73d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Owned Brands Datavers Brief</dc:title>
  <dc:creator>Owned Brands Sales</dc:creator>
  <cp:lastModifiedBy>Un-named</cp:lastModifiedBy>
  <cp:revision>1</cp:revision>
  <dcterms:created xsi:type="dcterms:W3CDTF">2026-06-20T15:52:08.103Z</dcterms:created>
  <dcterms:modified xsi:type="dcterms:W3CDTF">2026-06-20T15:52:08.103Z</dcterms:modified>
</cp:coreProperties>
</file>

<file path=docProps/custom.xml><?xml version="1.0" encoding="utf-8"?>
<Properties xmlns="http://schemas.openxmlformats.org/officeDocument/2006/custom-properties" xmlns:vt="http://schemas.openxmlformats.org/officeDocument/2006/docPropsVTypes"/>
</file>