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color w:val="1A1A1A"/>
          <w:sz w:val="26"/>
          <w:szCs w:val="26"/>
        </w:rPr>
        <w:t xml:space="preserve">OWNED BRANDS SALES INTELLIGENCE PLATFORM</w:t>
      </w:r>
    </w:p>
    <w:p>
      <w:pPr>
        <w:pBdr>
          <w:bottom w:val="single" w:color="1B7F4B" w:sz="12" w:space="4"/>
        </w:pBdr>
        <w:spacing w:after="0" w:before="20"/>
      </w:pPr>
      <w:r>
        <w:rPr>
          <w:rFonts w:ascii="Arial" w:cs="Arial" w:eastAsia="Arial" w:hAnsi="Arial"/>
          <w:b/>
          <w:bCs/>
          <w:color w:val="1B7F4B"/>
          <w:sz w:val="22"/>
          <w:szCs w:val="22"/>
        </w:rPr>
        <w:t xml:space="preserve">Board Decision Brief</w:t>
      </w:r>
    </w:p>
    <w:p>
      <w:pPr>
        <w:spacing w:after="60" w:before="60"/>
      </w:pPr>
      <w:r>
        <w:rPr>
          <w:rFonts w:ascii="Arial" w:cs="Arial" w:eastAsia="Arial" w:hAnsi="Arial"/>
          <w:color w:val="5A5A5A"/>
          <w:sz w:val="16"/>
          <w:szCs w:val="16"/>
        </w:rPr>
        <w:t xml:space="preserve">Director, Owned Brands Sales (OB_Vend &amp; OBCO)   ·   June 19, 2026   ·   Status: Discovery / prototype</w:t>
      </w:r>
    </w:p>
    <w:p>
      <w:pPr>
        <w:pBdr>
          <w:left w:val="single" w:color="1B7F4B" w:sz="18" w:space="8"/>
        </w:pBdr>
        <w:shd w:fill="EAF4EE" w:val="clear"/>
        <w:spacing w:after="80" w:before="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Turn competitor sell-through into higher-margin owned-brand revenue.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B7F4B"/>
          <w:spacing w:val="20"/>
          <w:sz w:val="17"/>
          <w:szCs w:val="17"/>
        </w:rPr>
        <w:t xml:space="preserve">THE OPPORTUNITY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Every OBCO customer buying a competitor part we cross to an owned brand is a margin-conversion opportunity — and today we can’t see them.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Owned Brands sells as a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vendor</w:t>
      </w:r>
      <w:r>
        <w:rPr>
          <w:rFonts w:ascii="Arial" w:cs="Arial" w:eastAsia="Arial" w:hAnsi="Arial"/>
          <w:sz w:val="18"/>
          <w:szCs w:val="18"/>
        </w:rPr>
        <w:t xml:space="preserve"> inside a distributor. CORE and USD were built for the distributor; they don’t show vendor-side sell-through, competitive conversion, or margin.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The conversion pipeline lives in disconnected spreadsheets. No system tracks it.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B7F4B"/>
          <w:spacing w:val="20"/>
          <w:sz w:val="17"/>
          <w:szCs w:val="17"/>
        </w:rPr>
        <w:t xml:space="preserve">THE SOLUTION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A parallel, vendor-side sales-intelligence and CRM platform inside OBCO — read-only from governed OBCO data, owning only net-new Owned Brands activity.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B7F4B"/>
          <w:spacing w:val="20"/>
          <w:sz w:val="17"/>
          <w:szCs w:val="17"/>
        </w:rPr>
        <w:t xml:space="preserve">THE VALUE LOOP — OUR NORTH STAR</w:t>
      </w:r>
    </w:p>
    <w:p>
      <w:pPr>
        <w:shd w:fill="F5F5F5" w:val="clear"/>
        <w:spacing w:after="8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Identify competitor sell-through</w:t>
      </w:r>
      <w:r>
        <w:rPr>
          <w:rFonts w:ascii="Arial" w:cs="Arial" w:eastAsia="Arial" w:hAnsi="Arial"/>
          <w:b/>
          <w:bCs/>
          <w:color w:val="1B7F4B"/>
          <w:sz w:val="18"/>
          <w:szCs w:val="18"/>
        </w:rPr>
        <w:t xml:space="preserve">   → 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cross to an owned-brand equivalent</w:t>
      </w:r>
      <w:r>
        <w:rPr>
          <w:rFonts w:ascii="Arial" w:cs="Arial" w:eastAsia="Arial" w:hAnsi="Arial"/>
          <w:b/>
          <w:bCs/>
          <w:color w:val="1B7F4B"/>
          <w:sz w:val="18"/>
          <w:szCs w:val="18"/>
        </w:rPr>
        <w:t xml:space="preserve">   → 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quantify the margin lift</w:t>
      </w:r>
      <w:r>
        <w:rPr>
          <w:rFonts w:ascii="Arial" w:cs="Arial" w:eastAsia="Arial" w:hAnsi="Arial"/>
          <w:b/>
          <w:bCs/>
          <w:color w:val="1B7F4B"/>
          <w:sz w:val="18"/>
          <w:szCs w:val="18"/>
        </w:rPr>
        <w:t xml:space="preserve">   →  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equip the rep to convert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B7F4B"/>
          <w:spacing w:val="20"/>
          <w:sz w:val="17"/>
          <w:szCs w:val="17"/>
        </w:rPr>
        <w:t xml:space="preserve">WHAT IT DOES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SKU cross-reference engine — competitor part → owned-brand equivalent, living and searchable.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Conversion targets ranked by margin upside, paired with a supply signal.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Vendor-lens CRM — opportunities, quotes-in-progress, calls, demos, and engagements.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AI email-drop (rep emails a note → structured records), datasheet cross-extraction, and a natural-language leadership dashboard.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Inventory overlay with a pipeline-weighted demand forecast.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1B7F4B"/>
          <w:spacing w:val="20"/>
          <w:sz w:val="17"/>
          <w:szCs w:val="17"/>
        </w:rPr>
        <w:t xml:space="preserve">WHY THIS IS A LOW-RISK YES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Read-only toward CORE and USD — no writes, no data duplication, no egress.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Azure-native: Entra ID SSO, RBAC + row-level security, embedded certified Power BI, Azure OpenAI in-tenant.</w:t>
      </w:r>
    </w:p>
    <w:p>
      <w:pPr>
        <w:shd w:fill="1B7F4B" w:val="clear"/>
        <w:spacing w:after="0" w:before="150"/>
      </w:pPr>
      <w:r>
        <w:rPr>
          <w:rFonts w:ascii="Arial" w:cs="Arial" w:eastAsia="Arial" w:hAnsi="Arial"/>
          <w:b/>
          <w:bCs/>
          <w:color w:val="FFFFFF"/>
          <w:sz w:val="18"/>
          <w:szCs w:val="18"/>
        </w:rPr>
        <w:t xml:space="preserve">THE ASK   </w:t>
      </w:r>
      <w:r>
        <w:rPr>
          <w:rFonts w:ascii="Arial" w:cs="Arial" w:eastAsia="Arial" w:hAnsi="Arial"/>
          <w:color w:val="FFFFFF"/>
          <w:sz w:val="18"/>
          <w:szCs w:val="18"/>
        </w:rPr>
        <w:t xml:space="preserve">Approve read-only access to governed OBCO sales data (incl. margin/cost) for a defined Owned Brands user group, provision the Azure build environment, and assign governance liaisons. Tooling and budget detail overleaf.</w:t>
      </w:r>
    </w:p>
    <w:p>
      <w:pPr>
        <w:pageBreakBefore/>
        <w:spacing w:after="0"/>
      </w:pPr>
      <w:r>
        <w:rPr>
          <w:rFonts w:ascii="Arial" w:cs="Arial" w:eastAsia="Arial" w:hAnsi="Arial"/>
          <w:b/>
          <w:bCs/>
          <w:color w:val="1B7F4B"/>
          <w:spacing w:val="20"/>
          <w:sz w:val="18"/>
          <w:szCs w:val="18"/>
        </w:rPr>
        <w:t xml:space="preserve">DEEPER DIVE</w:t>
      </w:r>
    </w:p>
    <w:p>
      <w:pPr>
        <w:pBdr>
          <w:bottom w:val="single" w:color="1B7F4B" w:sz="8" w:space="3"/>
        </w:pBdr>
        <w:spacing w:after="80" w:before="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Owned Brands Sales Intelligence Platform — the case in one page</w:t>
      </w:r>
    </w:p>
    <w:p>
      <w:pPr>
        <w:pBdr>
          <w:bottom w:val="single" w:color="D9D9D9" w:sz="4" w:space="2"/>
        </w:pBdr>
        <w:spacing w:after="24" w:before="92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The prize: competitor sell-through is owned-brand revenue left on the table</w:t>
      </w:r>
    </w:p>
    <w:p>
      <w:pPr>
        <w:spacing w:after="40"/>
      </w:pPr>
      <w:r>
        <w:rPr>
          <w:rFonts w:ascii="Arial" w:cs="Arial" w:eastAsia="Arial" w:hAnsi="Arial"/>
          <w:sz w:val="18"/>
          <w:szCs w:val="18"/>
        </w:rPr>
        <w:t xml:space="preserve">Owned-brand product carries materially higher margin than the competitor lines our customers buy today. Each competitor part with an owned-brand cross is revenue we can move up the margin curve — if we can find it. Total addressable lift is [quantify with Data Office once sell-through access is granted].</w:t>
      </w:r>
    </w:p>
    <w:p>
      <w:pPr>
        <w:pBdr>
          <w:bottom w:val="single" w:color="D9D9D9" w:sz="4" w:space="2"/>
        </w:pBdr>
        <w:spacing w:after="24" w:before="92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Why our own systems can’t see it — the vendor blind spot</w:t>
      </w:r>
    </w:p>
    <w:p>
      <w:pPr>
        <w:spacing w:after="40"/>
      </w:pPr>
      <w:r>
        <w:rPr>
          <w:rFonts w:ascii="Arial" w:cs="Arial" w:eastAsia="Arial" w:hAnsi="Arial"/>
          <w:sz w:val="18"/>
          <w:szCs w:val="18"/>
        </w:rPr>
        <w:t xml:space="preserve">CORE (ERP) and USD (CRM) serve the distributor operating model. Owned Brands operates as a vendor inside it and needs the lens those systems were never built to provide: brand sell-through, competitive conversion, margin, and the surrounding activity — opportunities, quotes, engagements. That gap is why the work lives in spreadsheets.</w:t>
      </w:r>
    </w:p>
    <w:p>
      <w:pPr>
        <w:pBdr>
          <w:bottom w:val="single" w:color="D9D9D9" w:sz="4" w:space="2"/>
        </w:pBdr>
        <w:spacing w:after="24" w:before="92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How it works — one loop, two tiers, one spine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Two tiers: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the OBCO seller channel</w:t>
      </w:r>
      <w:r>
        <w:rPr>
          <w:rFonts w:ascii="Arial" w:cs="Arial" w:eastAsia="Arial" w:hAnsi="Arial"/>
          <w:sz w:val="18"/>
          <w:szCs w:val="18"/>
        </w:rPr>
        <w:t xml:space="preserve"> (enablement) and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OBCO end customers</w:t>
      </w:r>
      <w:r>
        <w:rPr>
          <w:rFonts w:ascii="Arial" w:cs="Arial" w:eastAsia="Arial" w:hAnsi="Arial"/>
          <w:sz w:val="18"/>
          <w:szCs w:val="18"/>
        </w:rPr>
        <w:t xml:space="preserve"> (demand). Owned-brand selling runs through the channel and into the customer.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The SKU is the spine: one detail view unifies sales, stock, opportunities, crosses, and activity — no siloed dashboards.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Scope of conversion targets is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all</w:t>
      </w:r>
      <w:r>
        <w:rPr>
          <w:rFonts w:ascii="Arial" w:cs="Arial" w:eastAsia="Arial" w:hAnsi="Arial"/>
          <w:sz w:val="18"/>
          <w:szCs w:val="18"/>
        </w:rPr>
        <w:t xml:space="preserve"> OBCO customers — anyone buying competitor product is a target. Platform users are Owned Brands only.</w:t>
      </w:r>
    </w:p>
    <w:p>
      <w:pPr>
        <w:pBdr>
          <w:bottom w:val="single" w:color="D9D9D9" w:sz="4" w:space="2"/>
        </w:pBdr>
        <w:spacing w:after="24" w:before="92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Capabilities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Cross-reference engine</w:t>
            </w:r>
          </w:p>
        </w:tc>
        <w:tc>
          <w:tcPr>
            <w:tcW w:type="dxa" w:w="6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Competitor → owned-brand part mapping; living, searchable, AI-extracted from datasheets.</w:t>
            </w:r>
          </w:p>
        </w:tc>
      </w:tr>
      <w:tr>
        <w:tc>
          <w:tcPr>
            <w:tcW w:type="dxa" w:w="2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Conversion + supply</w:t>
            </w:r>
          </w:p>
        </w:tc>
        <w:tc>
          <w:tcPr>
            <w:tcW w:type="dxa" w:w="6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Targets ranked by margin upside; pipeline-weighted demand forecast surfaces a stock signal.</w:t>
            </w:r>
          </w:p>
        </w:tc>
      </w:tr>
      <w:tr>
        <w:tc>
          <w:tcPr>
            <w:tcW w:type="dxa" w:w="2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Vendor-lens CRM</w:t>
            </w:r>
          </w:p>
        </w:tc>
        <w:tc>
          <w:tcPr>
            <w:tcW w:type="dxa" w:w="6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Opportunities, quotes-in-progress, calls, visits, demos, hardware evals — for sellers and customers.</w:t>
            </w:r>
          </w:p>
        </w:tc>
      </w:tr>
      <w:tr>
        <w:tc>
          <w:tcPr>
            <w:tcW w:type="dxa" w:w="2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 layer</w:t>
            </w:r>
          </w:p>
        </w:tc>
        <w:tc>
          <w:tcPr>
            <w:tcW w:type="dxa" w:w="6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Email-drop ingestion to structured records; natural-language leadership dashboard; in-tenant only.</w:t>
            </w:r>
          </w:p>
        </w:tc>
      </w:tr>
    </w:tbl>
    <w:p>
      <w:pPr>
        <w:pBdr>
          <w:bottom w:val="single" w:color="D9D9D9" w:sz="4" w:space="2"/>
        </w:pBdr>
        <w:spacing w:after="24" w:before="92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Architecture &amp; governance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Hosting: Azure-native (App Service / Functions; Azure SQL for the isolated app database).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Identity &amp; access: Entra ID SSO, application RBAC, territory row-level security mirroring Power BI RLS — margin/cost confined to the authorized group.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sz w:val="18"/>
          <w:szCs w:val="18"/>
        </w:rPr>
        <w:t xml:space="preserve">Reporting &amp; AI: embedded certified Power BI (no dataset duplication); Azure OpenAI within the Microsoft boundary; sales and margin/cost handled as Confidential.</w:t>
      </w:r>
    </w:p>
    <w:p>
      <w:pPr>
        <w:pBdr>
          <w:bottom w:val="single" w:color="D9D9D9" w:sz="4" w:space="2"/>
        </w:pBdr>
        <w:spacing w:after="24" w:before="92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Risk boundaries — what we are NOT doing</w:t>
      </w:r>
    </w:p>
    <w:p>
      <w:pPr>
        <w:spacing w:after="30"/>
      </w:pPr>
      <w:r>
        <w:rPr>
          <w:rFonts w:ascii="Arial" w:cs="Arial" w:eastAsia="Arial" w:hAnsi="Arial"/>
          <w:sz w:val="18"/>
          <w:szCs w:val="18"/>
        </w:rPr>
        <w:t xml:space="preserve">No write/update/delete to CORE, USD, or any system of record   ·   no direct production-DB connectivity   ·   no duplication or ownership of OBCO data   ·   no egress outside the Microsoft / Azure boundary.</w:t>
      </w:r>
    </w:p>
    <w:p>
      <w:pPr>
        <w:pBdr>
          <w:bottom w:val="single" w:color="D9D9D9" w:sz="4" w:space="2"/>
        </w:pBdr>
        <w:spacing w:after="24" w:before="92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Phase 0 — now</w:t>
            </w:r>
          </w:p>
        </w:tc>
        <w:tc>
          <w:tcPr>
            <w:tcW w:type="dxa" w:w="6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Scoping, prototype wireframe, access one-pager, systems discovery (in progress).</w:t>
            </w:r>
          </w:p>
        </w:tc>
      </w:tr>
      <w:tr>
        <w:tc>
          <w:tcPr>
            <w:tcW w:type="dxa" w:w="2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Phase 1</w:t>
            </w:r>
          </w:p>
        </w:tc>
        <w:tc>
          <w:tcPr>
            <w:tcW w:type="dxa" w:w="6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Secure read-only access approval; confirm mechanism with the Data Office.</w:t>
            </w:r>
          </w:p>
        </w:tc>
      </w:tr>
      <w:tr>
        <w:tc>
          <w:tcPr>
            <w:tcW w:type="dxa" w:w="2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Phase 2</w:t>
            </w:r>
          </w:p>
        </w:tc>
        <w:tc>
          <w:tcPr>
            <w:tcW w:type="dxa" w:w="6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Build production on Azure — data-access layer, app DB, identity, embedded Power BI.</w:t>
            </w:r>
          </w:p>
        </w:tc>
      </w:tr>
      <w:tr>
        <w:tc>
          <w:tcPr>
            <w:tcW w:type="dxa" w:w="26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Phase 3 → 4</w:t>
            </w:r>
          </w:p>
        </w:tc>
        <w:tc>
          <w:tcPr>
            <w:tcW w:type="dxa" w:w="67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5F5F5" w:val="clear"/>
            <w:tcMar>
              <w:top w:type="dxa" w:w="42"/>
              <w:left w:type="dxa" w:w="110"/>
              <w:bottom w:type="dxa" w:w="42"/>
              <w:right w:type="dxa" w:w="11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AI layer (email-drop, datasheet crosses, NL query); rollout, education &amp; sales-plan outputs.</w:t>
            </w:r>
          </w:p>
        </w:tc>
      </w:tr>
    </w:tbl>
    <w:p>
      <w:pPr>
        <w:pBdr>
          <w:bottom w:val="single" w:color="D9D9D9" w:sz="4" w:space="2"/>
        </w:pBdr>
        <w:spacing w:after="24" w:before="92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The Ask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Read-only data access — </w:t>
      </w:r>
      <w:r>
        <w:rPr>
          <w:rFonts w:ascii="Arial" w:cs="Arial" w:eastAsia="Arial" w:hAnsi="Arial"/>
          <w:sz w:val="18"/>
          <w:szCs w:val="18"/>
        </w:rPr>
        <w:t xml:space="preserve">via governed datasets, certified Power BI, or the API layer: sales incl. margin/cost, open orders &amp; backlog, quotes/bids, account/contact/SKU master, inventory. Sole user at launch: the Director, Owned Brands Sales (expandable).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Azure environment — </w:t>
      </w:r>
      <w:r>
        <w:rPr>
          <w:rFonts w:ascii="Arial" w:cs="Arial" w:eastAsia="Arial" w:hAnsi="Arial"/>
          <w:sz w:val="18"/>
          <w:szCs w:val="18"/>
        </w:rPr>
        <w:t xml:space="preserve">subscription/resource group under OBCO governance; Entra ID app registration; Azure OpenAI in-tenant; Power BI workspace + certified-dataset read access.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Governance liaisons — </w:t>
      </w:r>
      <w:r>
        <w:rPr>
          <w:rFonts w:ascii="Arial" w:cs="Arial" w:eastAsia="Arial" w:hAnsi="Arial"/>
          <w:sz w:val="18"/>
          <w:szCs w:val="18"/>
        </w:rPr>
        <w:t xml:space="preserve">named contacts from Data Office, BI Governance, Cloud Engineering, and IT Security; confirmation of the access workflow and margin/cost classification.</w:t>
      </w:r>
    </w:p>
    <w:p>
      <w:pPr>
        <w:pStyle w:val="ListParagraph"/>
        <w:numPr>
          <w:ilvl w:val="0"/>
          <w:numId w:val="2"/>
        </w:numPr>
        <w:spacing w:after="18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Developer tooling &amp; hardware — </w:t>
      </w:r>
      <w:r>
        <w:rPr>
          <w:rFonts w:ascii="Arial" w:cs="Arial" w:eastAsia="Arial" w:hAnsi="Arial"/>
          <w:sz w:val="18"/>
          <w:szCs w:val="18"/>
        </w:rPr>
        <w:t xml:space="preserve">one MacBook Pro (or equivalent) as the primary dev workstation; standard dev licensing; incremental Azure consumption budget for the build phase, est. [confirm]/month during Phases 2–4.</w:t>
      </w:r>
    </w:p>
    <w:p>
      <w:pPr>
        <w:spacing w:before="30"/>
      </w:pPr>
      <w:r>
        <w:rPr>
          <w:rFonts w:ascii="Arial" w:cs="Arial" w:eastAsia="Arial" w:hAnsi="Arial"/>
          <w:i/>
          <w:iCs/>
          <w:color w:val="5A5A5A"/>
          <w:sz w:val="16"/>
          <w:szCs w:val="16"/>
        </w:rPr>
        <w:t xml:space="preserve">Execution is solo — the Director builds and operates the platform; no additional headcount requested.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5A5A"/>
        <w:sz w:val="14"/>
        <w:szCs w:val="14"/>
      </w:rPr>
      <w:t xml:space="preserve">Owned Brands Sales Intelligence Platform · Board Decision Brief · Confidential — Internal · </w:t>
    </w:r>
    <w:r>
      <w:rPr>
        <w:rFonts w:ascii="Arial" w:cs="Arial" w:eastAsia="Arial" w:hAnsi="Arial"/>
        <w:color w:val="5A5A5A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A5A5A"/>
        <w:sz w:val="14"/>
        <w:szCs w:val="14"/>
      </w:rPr>
      <w:t xml:space="preserve"> of </w:t>
    </w:r>
    <w:r>
      <w:rPr>
        <w:rFonts w:ascii="Arial" w:cs="Arial" w:eastAsia="Arial" w:hAnsi="Arial"/>
        <w:color w:val="5A5A5A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360" w:hanging="200"/>
      </w:pPr>
      <w:rPr>
        <w:color w:val="1B7F4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Owned Brands Sales Intelligence Platform — Board Decision Brief</dc:title>
  <dc:creator>Owned Brands Sales</dc:creator>
  <cp:lastModifiedBy>Un-named</cp:lastModifiedBy>
  <cp:revision>1</cp:revision>
  <dcterms:created xsi:type="dcterms:W3CDTF">2026-06-20T03:41:27.019Z</dcterms:created>
  <dcterms:modified xsi:type="dcterms:W3CDTF">2026-06-20T03:41:27.020Z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