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2C2B6" w14:textId="44FDC618" w:rsidR="00B74E6B" w:rsidRPr="004E48C8" w:rsidRDefault="00B74E6B" w:rsidP="00B74E6B">
      <w:pPr>
        <w:pStyle w:val="TOCHeading"/>
        <w:rPr>
          <w:rFonts w:asciiTheme="minorHAnsi" w:eastAsiaTheme="minorEastAsia" w:hAnsiTheme="minorHAnsi" w:cstheme="minorBidi"/>
          <w:b/>
          <w:bCs/>
          <w:color w:val="auto"/>
          <w:sz w:val="36"/>
          <w:szCs w:val="36"/>
        </w:rPr>
      </w:pPr>
      <w:r w:rsidRPr="004E48C8">
        <w:rPr>
          <w:rFonts w:asciiTheme="minorHAnsi" w:eastAsiaTheme="minorEastAsia" w:hAnsiTheme="minorHAnsi" w:cstheme="minorBidi"/>
          <w:b/>
          <w:bCs/>
          <w:color w:val="auto"/>
          <w:sz w:val="36"/>
          <w:szCs w:val="36"/>
        </w:rPr>
        <w:t>Documentation for GCAMUSAJobs: An R package for employment projections based on GCAM-USA power sector outcomes</w:t>
      </w:r>
    </w:p>
    <w:p w14:paraId="53B8BBE0" w14:textId="77777777" w:rsidR="00B74E6B" w:rsidRDefault="00B74E6B" w:rsidP="001C1608">
      <w:pPr>
        <w:pStyle w:val="TOCHeading"/>
        <w:spacing w:before="0" w:after="0"/>
        <w:rPr>
          <w:rFonts w:asciiTheme="minorHAnsi" w:eastAsiaTheme="minorEastAsia" w:hAnsiTheme="minorHAnsi" w:cstheme="minorBidi"/>
          <w:color w:val="auto"/>
          <w:sz w:val="21"/>
          <w:szCs w:val="21"/>
        </w:rPr>
      </w:pPr>
    </w:p>
    <w:p w14:paraId="0FD7C6B9" w14:textId="63EF55E3" w:rsidR="00B74E6B" w:rsidRPr="004E48C8" w:rsidRDefault="00B74E6B" w:rsidP="00B74E6B">
      <w:pPr>
        <w:rPr>
          <w:sz w:val="24"/>
          <w:szCs w:val="24"/>
        </w:rPr>
      </w:pPr>
      <w:r w:rsidRPr="004E48C8">
        <w:rPr>
          <w:sz w:val="24"/>
          <w:szCs w:val="24"/>
        </w:rPr>
        <w:t xml:space="preserve">Di Sheng, Brian O'Neill, Stephanie Waldhoff, and Matthew Binsted </w:t>
      </w:r>
    </w:p>
    <w:p w14:paraId="2542180C" w14:textId="47D34A57" w:rsidR="00B74E6B" w:rsidRPr="004E48C8" w:rsidRDefault="00B74E6B" w:rsidP="00B74E6B">
      <w:pPr>
        <w:rPr>
          <w:sz w:val="24"/>
          <w:szCs w:val="24"/>
        </w:rPr>
      </w:pPr>
      <w:r w:rsidRPr="004E48C8">
        <w:rPr>
          <w:sz w:val="24"/>
          <w:szCs w:val="24"/>
        </w:rPr>
        <w:t>Joint Global Change Research Institute, Pacific Northwest National Laboratory, College Park, MD, USA</w:t>
      </w:r>
    </w:p>
    <w:p w14:paraId="243C7FD8" w14:textId="50C487D3" w:rsidR="00B74E6B" w:rsidRPr="00B74E6B" w:rsidRDefault="00B74E6B" w:rsidP="00B74E6B">
      <w:pPr>
        <w:sectPr w:rsidR="00B74E6B" w:rsidRPr="00B74E6B">
          <w:pgSz w:w="12240" w:h="15840"/>
          <w:pgMar w:top="1440" w:right="1440" w:bottom="1440" w:left="1440" w:header="720" w:footer="720" w:gutter="0"/>
          <w:cols w:space="720"/>
          <w:docGrid w:linePitch="360"/>
        </w:sectPr>
      </w:pPr>
    </w:p>
    <w:sdt>
      <w:sdtPr>
        <w:rPr>
          <w:rFonts w:asciiTheme="minorHAnsi" w:eastAsiaTheme="minorEastAsia" w:hAnsiTheme="minorHAnsi" w:cstheme="minorBidi"/>
          <w:color w:val="auto"/>
          <w:sz w:val="21"/>
          <w:szCs w:val="21"/>
        </w:rPr>
        <w:id w:val="-1637485872"/>
        <w:docPartObj>
          <w:docPartGallery w:val="Table of Contents"/>
          <w:docPartUnique/>
        </w:docPartObj>
      </w:sdtPr>
      <w:sdtEndPr>
        <w:rPr>
          <w:b/>
          <w:bCs/>
          <w:noProof/>
        </w:rPr>
      </w:sdtEndPr>
      <w:sdtContent>
        <w:p w14:paraId="0663EF84" w14:textId="20AC6D59" w:rsidR="00761626" w:rsidRDefault="00761626" w:rsidP="001C1608">
          <w:pPr>
            <w:pStyle w:val="TOCHeading"/>
            <w:spacing w:before="0" w:after="0"/>
          </w:pPr>
          <w:r>
            <w:t>Table of Contents</w:t>
          </w:r>
        </w:p>
        <w:p w14:paraId="6FD6337C" w14:textId="08F0A67B" w:rsidR="00F6550B" w:rsidRDefault="00761626">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78345327" w:history="1">
            <w:r w:rsidR="00F6550B" w:rsidRPr="006B00D0">
              <w:rPr>
                <w:rStyle w:val="Hyperlink"/>
                <w:noProof/>
              </w:rPr>
              <w:t>1. Package Overview</w:t>
            </w:r>
            <w:r w:rsidR="00F6550B">
              <w:rPr>
                <w:noProof/>
                <w:webHidden/>
              </w:rPr>
              <w:tab/>
            </w:r>
            <w:r w:rsidR="00F6550B">
              <w:rPr>
                <w:noProof/>
                <w:webHidden/>
              </w:rPr>
              <w:fldChar w:fldCharType="begin"/>
            </w:r>
            <w:r w:rsidR="00F6550B">
              <w:rPr>
                <w:noProof/>
                <w:webHidden/>
              </w:rPr>
              <w:instrText xml:space="preserve"> PAGEREF _Toc178345327 \h </w:instrText>
            </w:r>
            <w:r w:rsidR="00F6550B">
              <w:rPr>
                <w:noProof/>
                <w:webHidden/>
              </w:rPr>
            </w:r>
            <w:r w:rsidR="00F6550B">
              <w:rPr>
                <w:noProof/>
                <w:webHidden/>
              </w:rPr>
              <w:fldChar w:fldCharType="separate"/>
            </w:r>
            <w:r w:rsidR="00F6550B">
              <w:rPr>
                <w:noProof/>
                <w:webHidden/>
              </w:rPr>
              <w:t>3</w:t>
            </w:r>
            <w:r w:rsidR="00F6550B">
              <w:rPr>
                <w:noProof/>
                <w:webHidden/>
              </w:rPr>
              <w:fldChar w:fldCharType="end"/>
            </w:r>
          </w:hyperlink>
        </w:p>
        <w:p w14:paraId="078217AF" w14:textId="43A85E87" w:rsidR="00F6550B" w:rsidRDefault="00F6550B">
          <w:pPr>
            <w:pStyle w:val="TOC1"/>
            <w:tabs>
              <w:tab w:val="right" w:leader="dot" w:pos="9350"/>
            </w:tabs>
            <w:rPr>
              <w:noProof/>
              <w:kern w:val="2"/>
              <w:sz w:val="22"/>
              <w:szCs w:val="22"/>
              <w14:ligatures w14:val="standardContextual"/>
            </w:rPr>
          </w:pPr>
          <w:hyperlink w:anchor="_Toc178345328" w:history="1">
            <w:r w:rsidRPr="006B00D0">
              <w:rPr>
                <w:rStyle w:val="Hyperlink"/>
                <w:noProof/>
              </w:rPr>
              <w:t>2. Inputs of the package</w:t>
            </w:r>
            <w:r>
              <w:rPr>
                <w:noProof/>
                <w:webHidden/>
              </w:rPr>
              <w:tab/>
            </w:r>
            <w:r>
              <w:rPr>
                <w:noProof/>
                <w:webHidden/>
              </w:rPr>
              <w:fldChar w:fldCharType="begin"/>
            </w:r>
            <w:r>
              <w:rPr>
                <w:noProof/>
                <w:webHidden/>
              </w:rPr>
              <w:instrText xml:space="preserve"> PAGEREF _Toc178345328 \h </w:instrText>
            </w:r>
            <w:r>
              <w:rPr>
                <w:noProof/>
                <w:webHidden/>
              </w:rPr>
            </w:r>
            <w:r>
              <w:rPr>
                <w:noProof/>
                <w:webHidden/>
              </w:rPr>
              <w:fldChar w:fldCharType="separate"/>
            </w:r>
            <w:r>
              <w:rPr>
                <w:noProof/>
                <w:webHidden/>
              </w:rPr>
              <w:t>3</w:t>
            </w:r>
            <w:r>
              <w:rPr>
                <w:noProof/>
                <w:webHidden/>
              </w:rPr>
              <w:fldChar w:fldCharType="end"/>
            </w:r>
          </w:hyperlink>
        </w:p>
        <w:p w14:paraId="24D33CF6" w14:textId="52346388" w:rsidR="00F6550B" w:rsidRDefault="00F6550B">
          <w:pPr>
            <w:pStyle w:val="TOC2"/>
            <w:tabs>
              <w:tab w:val="right" w:leader="dot" w:pos="9350"/>
            </w:tabs>
            <w:rPr>
              <w:noProof/>
              <w:kern w:val="2"/>
              <w:sz w:val="22"/>
              <w:szCs w:val="22"/>
              <w14:ligatures w14:val="standardContextual"/>
            </w:rPr>
          </w:pPr>
          <w:hyperlink w:anchor="_Toc178345329" w:history="1">
            <w:r w:rsidRPr="006B00D0">
              <w:rPr>
                <w:rStyle w:val="Hyperlink"/>
                <w:noProof/>
              </w:rPr>
              <w:t>2.1 GCAM-USA output</w:t>
            </w:r>
            <w:r>
              <w:rPr>
                <w:noProof/>
                <w:webHidden/>
              </w:rPr>
              <w:tab/>
            </w:r>
            <w:r>
              <w:rPr>
                <w:noProof/>
                <w:webHidden/>
              </w:rPr>
              <w:fldChar w:fldCharType="begin"/>
            </w:r>
            <w:r>
              <w:rPr>
                <w:noProof/>
                <w:webHidden/>
              </w:rPr>
              <w:instrText xml:space="preserve"> PAGEREF _Toc178345329 \h </w:instrText>
            </w:r>
            <w:r>
              <w:rPr>
                <w:noProof/>
                <w:webHidden/>
              </w:rPr>
            </w:r>
            <w:r>
              <w:rPr>
                <w:noProof/>
                <w:webHidden/>
              </w:rPr>
              <w:fldChar w:fldCharType="separate"/>
            </w:r>
            <w:r>
              <w:rPr>
                <w:noProof/>
                <w:webHidden/>
              </w:rPr>
              <w:t>3</w:t>
            </w:r>
            <w:r>
              <w:rPr>
                <w:noProof/>
                <w:webHidden/>
              </w:rPr>
              <w:fldChar w:fldCharType="end"/>
            </w:r>
          </w:hyperlink>
        </w:p>
        <w:p w14:paraId="56D67F89" w14:textId="28872646" w:rsidR="00F6550B" w:rsidRDefault="00F6550B">
          <w:pPr>
            <w:pStyle w:val="TOC2"/>
            <w:tabs>
              <w:tab w:val="right" w:leader="dot" w:pos="9350"/>
            </w:tabs>
            <w:rPr>
              <w:noProof/>
              <w:kern w:val="2"/>
              <w:sz w:val="22"/>
              <w:szCs w:val="22"/>
              <w14:ligatures w14:val="standardContextual"/>
            </w:rPr>
          </w:pPr>
          <w:hyperlink w:anchor="_Toc178345330" w:history="1">
            <w:r w:rsidRPr="006B00D0">
              <w:rPr>
                <w:rStyle w:val="Hyperlink"/>
                <w:noProof/>
              </w:rPr>
              <w:t>2.2 GCAM-USA assumptions</w:t>
            </w:r>
            <w:r>
              <w:rPr>
                <w:noProof/>
                <w:webHidden/>
              </w:rPr>
              <w:tab/>
            </w:r>
            <w:r>
              <w:rPr>
                <w:noProof/>
                <w:webHidden/>
              </w:rPr>
              <w:fldChar w:fldCharType="begin"/>
            </w:r>
            <w:r>
              <w:rPr>
                <w:noProof/>
                <w:webHidden/>
              </w:rPr>
              <w:instrText xml:space="preserve"> PAGEREF _Toc178345330 \h </w:instrText>
            </w:r>
            <w:r>
              <w:rPr>
                <w:noProof/>
                <w:webHidden/>
              </w:rPr>
            </w:r>
            <w:r>
              <w:rPr>
                <w:noProof/>
                <w:webHidden/>
              </w:rPr>
              <w:fldChar w:fldCharType="separate"/>
            </w:r>
            <w:r>
              <w:rPr>
                <w:noProof/>
                <w:webHidden/>
              </w:rPr>
              <w:t>4</w:t>
            </w:r>
            <w:r>
              <w:rPr>
                <w:noProof/>
                <w:webHidden/>
              </w:rPr>
              <w:fldChar w:fldCharType="end"/>
            </w:r>
          </w:hyperlink>
        </w:p>
        <w:p w14:paraId="7DE78042" w14:textId="53560493" w:rsidR="00F6550B" w:rsidRDefault="00F6550B">
          <w:pPr>
            <w:pStyle w:val="TOC3"/>
            <w:tabs>
              <w:tab w:val="right" w:leader="dot" w:pos="9350"/>
            </w:tabs>
            <w:rPr>
              <w:noProof/>
              <w:kern w:val="2"/>
              <w:sz w:val="22"/>
              <w:szCs w:val="22"/>
              <w14:ligatures w14:val="standardContextual"/>
            </w:rPr>
          </w:pPr>
          <w:hyperlink w:anchor="_Toc178345331" w:history="1">
            <w:r w:rsidRPr="006B00D0">
              <w:rPr>
                <w:rStyle w:val="Hyperlink"/>
                <w:noProof/>
              </w:rPr>
              <w:t>2.2.1 Capacity factor</w:t>
            </w:r>
            <w:r>
              <w:rPr>
                <w:noProof/>
                <w:webHidden/>
              </w:rPr>
              <w:tab/>
            </w:r>
            <w:r>
              <w:rPr>
                <w:noProof/>
                <w:webHidden/>
              </w:rPr>
              <w:fldChar w:fldCharType="begin"/>
            </w:r>
            <w:r>
              <w:rPr>
                <w:noProof/>
                <w:webHidden/>
              </w:rPr>
              <w:instrText xml:space="preserve"> PAGEREF _Toc178345331 \h </w:instrText>
            </w:r>
            <w:r>
              <w:rPr>
                <w:noProof/>
                <w:webHidden/>
              </w:rPr>
            </w:r>
            <w:r>
              <w:rPr>
                <w:noProof/>
                <w:webHidden/>
              </w:rPr>
              <w:fldChar w:fldCharType="separate"/>
            </w:r>
            <w:r>
              <w:rPr>
                <w:noProof/>
                <w:webHidden/>
              </w:rPr>
              <w:t>4</w:t>
            </w:r>
            <w:r>
              <w:rPr>
                <w:noProof/>
                <w:webHidden/>
              </w:rPr>
              <w:fldChar w:fldCharType="end"/>
            </w:r>
          </w:hyperlink>
        </w:p>
        <w:p w14:paraId="35306DD8" w14:textId="454E052B" w:rsidR="00F6550B" w:rsidRDefault="00F6550B">
          <w:pPr>
            <w:pStyle w:val="TOC3"/>
            <w:tabs>
              <w:tab w:val="right" w:leader="dot" w:pos="9350"/>
            </w:tabs>
            <w:rPr>
              <w:noProof/>
              <w:kern w:val="2"/>
              <w:sz w:val="22"/>
              <w:szCs w:val="22"/>
              <w14:ligatures w14:val="standardContextual"/>
            </w:rPr>
          </w:pPr>
          <w:hyperlink w:anchor="_Toc178345332" w:history="1">
            <w:r w:rsidRPr="006B00D0">
              <w:rPr>
                <w:rStyle w:val="Hyperlink"/>
                <w:noProof/>
              </w:rPr>
              <w:t>2.2.2 Retirement</w:t>
            </w:r>
            <w:r>
              <w:rPr>
                <w:noProof/>
                <w:webHidden/>
              </w:rPr>
              <w:tab/>
            </w:r>
            <w:r>
              <w:rPr>
                <w:noProof/>
                <w:webHidden/>
              </w:rPr>
              <w:fldChar w:fldCharType="begin"/>
            </w:r>
            <w:r>
              <w:rPr>
                <w:noProof/>
                <w:webHidden/>
              </w:rPr>
              <w:instrText xml:space="preserve"> PAGEREF _Toc178345332 \h </w:instrText>
            </w:r>
            <w:r>
              <w:rPr>
                <w:noProof/>
                <w:webHidden/>
              </w:rPr>
            </w:r>
            <w:r>
              <w:rPr>
                <w:noProof/>
                <w:webHidden/>
              </w:rPr>
              <w:fldChar w:fldCharType="separate"/>
            </w:r>
            <w:r>
              <w:rPr>
                <w:noProof/>
                <w:webHidden/>
              </w:rPr>
              <w:t>4</w:t>
            </w:r>
            <w:r>
              <w:rPr>
                <w:noProof/>
                <w:webHidden/>
              </w:rPr>
              <w:fldChar w:fldCharType="end"/>
            </w:r>
          </w:hyperlink>
        </w:p>
        <w:p w14:paraId="1DF2D9B4" w14:textId="025DF588" w:rsidR="00F6550B" w:rsidRDefault="00F6550B">
          <w:pPr>
            <w:pStyle w:val="TOC3"/>
            <w:tabs>
              <w:tab w:val="right" w:leader="dot" w:pos="9350"/>
            </w:tabs>
            <w:rPr>
              <w:noProof/>
              <w:kern w:val="2"/>
              <w:sz w:val="22"/>
              <w:szCs w:val="22"/>
              <w14:ligatures w14:val="standardContextual"/>
            </w:rPr>
          </w:pPr>
          <w:hyperlink w:anchor="_Toc178345333" w:history="1">
            <w:r w:rsidRPr="006B00D0">
              <w:rPr>
                <w:rStyle w:val="Hyperlink"/>
                <w:noProof/>
              </w:rPr>
              <w:t>2.2.3 O&amp;M cost</w:t>
            </w:r>
            <w:r>
              <w:rPr>
                <w:noProof/>
                <w:webHidden/>
              </w:rPr>
              <w:tab/>
            </w:r>
            <w:r>
              <w:rPr>
                <w:noProof/>
                <w:webHidden/>
              </w:rPr>
              <w:fldChar w:fldCharType="begin"/>
            </w:r>
            <w:r>
              <w:rPr>
                <w:noProof/>
                <w:webHidden/>
              </w:rPr>
              <w:instrText xml:space="preserve"> PAGEREF _Toc178345333 \h </w:instrText>
            </w:r>
            <w:r>
              <w:rPr>
                <w:noProof/>
                <w:webHidden/>
              </w:rPr>
            </w:r>
            <w:r>
              <w:rPr>
                <w:noProof/>
                <w:webHidden/>
              </w:rPr>
              <w:fldChar w:fldCharType="separate"/>
            </w:r>
            <w:r>
              <w:rPr>
                <w:noProof/>
                <w:webHidden/>
              </w:rPr>
              <w:t>5</w:t>
            </w:r>
            <w:r>
              <w:rPr>
                <w:noProof/>
                <w:webHidden/>
              </w:rPr>
              <w:fldChar w:fldCharType="end"/>
            </w:r>
          </w:hyperlink>
        </w:p>
        <w:p w14:paraId="089686E4" w14:textId="4EA78146" w:rsidR="00F6550B" w:rsidRDefault="00F6550B">
          <w:pPr>
            <w:pStyle w:val="TOC2"/>
            <w:tabs>
              <w:tab w:val="right" w:leader="dot" w:pos="9350"/>
            </w:tabs>
            <w:rPr>
              <w:noProof/>
              <w:kern w:val="2"/>
              <w:sz w:val="22"/>
              <w:szCs w:val="22"/>
              <w14:ligatures w14:val="standardContextual"/>
            </w:rPr>
          </w:pPr>
          <w:hyperlink w:anchor="_Toc178345334" w:history="1">
            <w:r w:rsidRPr="006B00D0">
              <w:rPr>
                <w:rStyle w:val="Hyperlink"/>
                <w:noProof/>
              </w:rPr>
              <w:t>2.3 JEDI employment factors</w:t>
            </w:r>
            <w:r>
              <w:rPr>
                <w:noProof/>
                <w:webHidden/>
              </w:rPr>
              <w:tab/>
            </w:r>
            <w:r>
              <w:rPr>
                <w:noProof/>
                <w:webHidden/>
              </w:rPr>
              <w:fldChar w:fldCharType="begin"/>
            </w:r>
            <w:r>
              <w:rPr>
                <w:noProof/>
                <w:webHidden/>
              </w:rPr>
              <w:instrText xml:space="preserve"> PAGEREF _Toc178345334 \h </w:instrText>
            </w:r>
            <w:r>
              <w:rPr>
                <w:noProof/>
                <w:webHidden/>
              </w:rPr>
            </w:r>
            <w:r>
              <w:rPr>
                <w:noProof/>
                <w:webHidden/>
              </w:rPr>
              <w:fldChar w:fldCharType="separate"/>
            </w:r>
            <w:r>
              <w:rPr>
                <w:noProof/>
                <w:webHidden/>
              </w:rPr>
              <w:t>5</w:t>
            </w:r>
            <w:r>
              <w:rPr>
                <w:noProof/>
                <w:webHidden/>
              </w:rPr>
              <w:fldChar w:fldCharType="end"/>
            </w:r>
          </w:hyperlink>
        </w:p>
        <w:p w14:paraId="11C18AA9" w14:textId="06E64F03" w:rsidR="00F6550B" w:rsidRDefault="00F6550B">
          <w:pPr>
            <w:pStyle w:val="TOC3"/>
            <w:tabs>
              <w:tab w:val="right" w:leader="dot" w:pos="9350"/>
            </w:tabs>
            <w:rPr>
              <w:noProof/>
              <w:kern w:val="2"/>
              <w:sz w:val="22"/>
              <w:szCs w:val="22"/>
              <w14:ligatures w14:val="standardContextual"/>
            </w:rPr>
          </w:pPr>
          <w:hyperlink w:anchor="_Toc178345335" w:history="1">
            <w:r w:rsidRPr="006B00D0">
              <w:rPr>
                <w:rStyle w:val="Hyperlink"/>
                <w:noProof/>
              </w:rPr>
              <w:t>2.3.1 Prerequisite</w:t>
            </w:r>
            <w:r>
              <w:rPr>
                <w:noProof/>
                <w:webHidden/>
              </w:rPr>
              <w:tab/>
            </w:r>
            <w:r>
              <w:rPr>
                <w:noProof/>
                <w:webHidden/>
              </w:rPr>
              <w:fldChar w:fldCharType="begin"/>
            </w:r>
            <w:r>
              <w:rPr>
                <w:noProof/>
                <w:webHidden/>
              </w:rPr>
              <w:instrText xml:space="preserve"> PAGEREF _Toc178345335 \h </w:instrText>
            </w:r>
            <w:r>
              <w:rPr>
                <w:noProof/>
                <w:webHidden/>
              </w:rPr>
            </w:r>
            <w:r>
              <w:rPr>
                <w:noProof/>
                <w:webHidden/>
              </w:rPr>
              <w:fldChar w:fldCharType="separate"/>
            </w:r>
            <w:r>
              <w:rPr>
                <w:noProof/>
                <w:webHidden/>
              </w:rPr>
              <w:t>5</w:t>
            </w:r>
            <w:r>
              <w:rPr>
                <w:noProof/>
                <w:webHidden/>
              </w:rPr>
              <w:fldChar w:fldCharType="end"/>
            </w:r>
          </w:hyperlink>
        </w:p>
        <w:p w14:paraId="48F120DA" w14:textId="48786A6F" w:rsidR="00F6550B" w:rsidRDefault="00F6550B">
          <w:pPr>
            <w:pStyle w:val="TOC3"/>
            <w:tabs>
              <w:tab w:val="right" w:leader="dot" w:pos="9350"/>
            </w:tabs>
            <w:rPr>
              <w:noProof/>
              <w:kern w:val="2"/>
              <w:sz w:val="22"/>
              <w:szCs w:val="22"/>
              <w14:ligatures w14:val="standardContextual"/>
            </w:rPr>
          </w:pPr>
          <w:hyperlink w:anchor="_Toc178345336" w:history="1">
            <w:r w:rsidRPr="006B00D0">
              <w:rPr>
                <w:rStyle w:val="Hyperlink"/>
                <w:noProof/>
              </w:rPr>
              <w:t>2.3.1 Biomass and biomass-CCS</w:t>
            </w:r>
            <w:r>
              <w:rPr>
                <w:noProof/>
                <w:webHidden/>
              </w:rPr>
              <w:tab/>
            </w:r>
            <w:r>
              <w:rPr>
                <w:noProof/>
                <w:webHidden/>
              </w:rPr>
              <w:fldChar w:fldCharType="begin"/>
            </w:r>
            <w:r>
              <w:rPr>
                <w:noProof/>
                <w:webHidden/>
              </w:rPr>
              <w:instrText xml:space="preserve"> PAGEREF _Toc178345336 \h </w:instrText>
            </w:r>
            <w:r>
              <w:rPr>
                <w:noProof/>
                <w:webHidden/>
              </w:rPr>
            </w:r>
            <w:r>
              <w:rPr>
                <w:noProof/>
                <w:webHidden/>
              </w:rPr>
              <w:fldChar w:fldCharType="separate"/>
            </w:r>
            <w:r>
              <w:rPr>
                <w:noProof/>
                <w:webHidden/>
              </w:rPr>
              <w:t>6</w:t>
            </w:r>
            <w:r>
              <w:rPr>
                <w:noProof/>
                <w:webHidden/>
              </w:rPr>
              <w:fldChar w:fldCharType="end"/>
            </w:r>
          </w:hyperlink>
        </w:p>
        <w:p w14:paraId="65863285" w14:textId="1F608567" w:rsidR="00F6550B" w:rsidRDefault="00F6550B">
          <w:pPr>
            <w:pStyle w:val="TOC3"/>
            <w:tabs>
              <w:tab w:val="right" w:leader="dot" w:pos="9350"/>
            </w:tabs>
            <w:rPr>
              <w:noProof/>
              <w:kern w:val="2"/>
              <w:sz w:val="22"/>
              <w:szCs w:val="22"/>
              <w14:ligatures w14:val="standardContextual"/>
            </w:rPr>
          </w:pPr>
          <w:hyperlink w:anchor="_Toc178345337" w:history="1">
            <w:r w:rsidRPr="006B00D0">
              <w:rPr>
                <w:rStyle w:val="Hyperlink"/>
                <w:noProof/>
              </w:rPr>
              <w:t>2.3.2 Coal and coal-CCS</w:t>
            </w:r>
            <w:r>
              <w:rPr>
                <w:noProof/>
                <w:webHidden/>
              </w:rPr>
              <w:tab/>
            </w:r>
            <w:r>
              <w:rPr>
                <w:noProof/>
                <w:webHidden/>
              </w:rPr>
              <w:fldChar w:fldCharType="begin"/>
            </w:r>
            <w:r>
              <w:rPr>
                <w:noProof/>
                <w:webHidden/>
              </w:rPr>
              <w:instrText xml:space="preserve"> PAGEREF _Toc178345337 \h </w:instrText>
            </w:r>
            <w:r>
              <w:rPr>
                <w:noProof/>
                <w:webHidden/>
              </w:rPr>
            </w:r>
            <w:r>
              <w:rPr>
                <w:noProof/>
                <w:webHidden/>
              </w:rPr>
              <w:fldChar w:fldCharType="separate"/>
            </w:r>
            <w:r>
              <w:rPr>
                <w:noProof/>
                <w:webHidden/>
              </w:rPr>
              <w:t>6</w:t>
            </w:r>
            <w:r>
              <w:rPr>
                <w:noProof/>
                <w:webHidden/>
              </w:rPr>
              <w:fldChar w:fldCharType="end"/>
            </w:r>
          </w:hyperlink>
        </w:p>
        <w:p w14:paraId="684D04A9" w14:textId="58D6855E" w:rsidR="00F6550B" w:rsidRDefault="00F6550B">
          <w:pPr>
            <w:pStyle w:val="TOC3"/>
            <w:tabs>
              <w:tab w:val="right" w:leader="dot" w:pos="9350"/>
            </w:tabs>
            <w:rPr>
              <w:noProof/>
              <w:kern w:val="2"/>
              <w:sz w:val="22"/>
              <w:szCs w:val="22"/>
              <w14:ligatures w14:val="standardContextual"/>
            </w:rPr>
          </w:pPr>
          <w:hyperlink w:anchor="_Toc178345338" w:history="1">
            <w:r w:rsidRPr="006B00D0">
              <w:rPr>
                <w:rStyle w:val="Hyperlink"/>
                <w:noProof/>
              </w:rPr>
              <w:t>2.3.3 Natural gas and natural gas-CCS</w:t>
            </w:r>
            <w:r>
              <w:rPr>
                <w:noProof/>
                <w:webHidden/>
              </w:rPr>
              <w:tab/>
            </w:r>
            <w:r>
              <w:rPr>
                <w:noProof/>
                <w:webHidden/>
              </w:rPr>
              <w:fldChar w:fldCharType="begin"/>
            </w:r>
            <w:r>
              <w:rPr>
                <w:noProof/>
                <w:webHidden/>
              </w:rPr>
              <w:instrText xml:space="preserve"> PAGEREF _Toc178345338 \h </w:instrText>
            </w:r>
            <w:r>
              <w:rPr>
                <w:noProof/>
                <w:webHidden/>
              </w:rPr>
            </w:r>
            <w:r>
              <w:rPr>
                <w:noProof/>
                <w:webHidden/>
              </w:rPr>
              <w:fldChar w:fldCharType="separate"/>
            </w:r>
            <w:r>
              <w:rPr>
                <w:noProof/>
                <w:webHidden/>
              </w:rPr>
              <w:t>6</w:t>
            </w:r>
            <w:r>
              <w:rPr>
                <w:noProof/>
                <w:webHidden/>
              </w:rPr>
              <w:fldChar w:fldCharType="end"/>
            </w:r>
          </w:hyperlink>
        </w:p>
        <w:p w14:paraId="6DB8BA42" w14:textId="2A1802E9" w:rsidR="00F6550B" w:rsidRDefault="00F6550B">
          <w:pPr>
            <w:pStyle w:val="TOC3"/>
            <w:tabs>
              <w:tab w:val="right" w:leader="dot" w:pos="9350"/>
            </w:tabs>
            <w:rPr>
              <w:noProof/>
              <w:kern w:val="2"/>
              <w:sz w:val="22"/>
              <w:szCs w:val="22"/>
              <w14:ligatures w14:val="standardContextual"/>
            </w:rPr>
          </w:pPr>
          <w:hyperlink w:anchor="_Toc178345339" w:history="1">
            <w:r w:rsidRPr="006B00D0">
              <w:rPr>
                <w:rStyle w:val="Hyperlink"/>
                <w:noProof/>
              </w:rPr>
              <w:t>2.3.4 Refined liquids and Refined liquids-CCS</w:t>
            </w:r>
            <w:r>
              <w:rPr>
                <w:noProof/>
                <w:webHidden/>
              </w:rPr>
              <w:tab/>
            </w:r>
            <w:r>
              <w:rPr>
                <w:noProof/>
                <w:webHidden/>
              </w:rPr>
              <w:fldChar w:fldCharType="begin"/>
            </w:r>
            <w:r>
              <w:rPr>
                <w:noProof/>
                <w:webHidden/>
              </w:rPr>
              <w:instrText xml:space="preserve"> PAGEREF _Toc178345339 \h </w:instrText>
            </w:r>
            <w:r>
              <w:rPr>
                <w:noProof/>
                <w:webHidden/>
              </w:rPr>
            </w:r>
            <w:r>
              <w:rPr>
                <w:noProof/>
                <w:webHidden/>
              </w:rPr>
              <w:fldChar w:fldCharType="separate"/>
            </w:r>
            <w:r>
              <w:rPr>
                <w:noProof/>
                <w:webHidden/>
              </w:rPr>
              <w:t>7</w:t>
            </w:r>
            <w:r>
              <w:rPr>
                <w:noProof/>
                <w:webHidden/>
              </w:rPr>
              <w:fldChar w:fldCharType="end"/>
            </w:r>
          </w:hyperlink>
        </w:p>
        <w:p w14:paraId="62CE6146" w14:textId="7FB18B23" w:rsidR="00F6550B" w:rsidRDefault="00F6550B">
          <w:pPr>
            <w:pStyle w:val="TOC3"/>
            <w:tabs>
              <w:tab w:val="right" w:leader="dot" w:pos="9350"/>
            </w:tabs>
            <w:rPr>
              <w:noProof/>
              <w:kern w:val="2"/>
              <w:sz w:val="22"/>
              <w:szCs w:val="22"/>
              <w14:ligatures w14:val="standardContextual"/>
            </w:rPr>
          </w:pPr>
          <w:hyperlink w:anchor="_Toc178345340" w:history="1">
            <w:r w:rsidRPr="006B00D0">
              <w:rPr>
                <w:rStyle w:val="Hyperlink"/>
                <w:noProof/>
              </w:rPr>
              <w:t>2.3.5 Solar and rooftop PV</w:t>
            </w:r>
            <w:r>
              <w:rPr>
                <w:noProof/>
                <w:webHidden/>
              </w:rPr>
              <w:tab/>
            </w:r>
            <w:r>
              <w:rPr>
                <w:noProof/>
                <w:webHidden/>
              </w:rPr>
              <w:fldChar w:fldCharType="begin"/>
            </w:r>
            <w:r>
              <w:rPr>
                <w:noProof/>
                <w:webHidden/>
              </w:rPr>
              <w:instrText xml:space="preserve"> PAGEREF _Toc178345340 \h </w:instrText>
            </w:r>
            <w:r>
              <w:rPr>
                <w:noProof/>
                <w:webHidden/>
              </w:rPr>
            </w:r>
            <w:r>
              <w:rPr>
                <w:noProof/>
                <w:webHidden/>
              </w:rPr>
              <w:fldChar w:fldCharType="separate"/>
            </w:r>
            <w:r>
              <w:rPr>
                <w:noProof/>
                <w:webHidden/>
              </w:rPr>
              <w:t>7</w:t>
            </w:r>
            <w:r>
              <w:rPr>
                <w:noProof/>
                <w:webHidden/>
              </w:rPr>
              <w:fldChar w:fldCharType="end"/>
            </w:r>
          </w:hyperlink>
        </w:p>
        <w:p w14:paraId="22769878" w14:textId="21247A9C" w:rsidR="00F6550B" w:rsidRDefault="00F6550B">
          <w:pPr>
            <w:pStyle w:val="TOC3"/>
            <w:tabs>
              <w:tab w:val="right" w:leader="dot" w:pos="9350"/>
            </w:tabs>
            <w:rPr>
              <w:noProof/>
              <w:kern w:val="2"/>
              <w:sz w:val="22"/>
              <w:szCs w:val="22"/>
              <w14:ligatures w14:val="standardContextual"/>
            </w:rPr>
          </w:pPr>
          <w:hyperlink w:anchor="_Toc178345341" w:history="1">
            <w:r w:rsidRPr="006B00D0">
              <w:rPr>
                <w:rStyle w:val="Hyperlink"/>
                <w:noProof/>
              </w:rPr>
              <w:t>2.3.6 Onshore wind and offshore wind</w:t>
            </w:r>
            <w:r>
              <w:rPr>
                <w:noProof/>
                <w:webHidden/>
              </w:rPr>
              <w:tab/>
            </w:r>
            <w:r>
              <w:rPr>
                <w:noProof/>
                <w:webHidden/>
              </w:rPr>
              <w:fldChar w:fldCharType="begin"/>
            </w:r>
            <w:r>
              <w:rPr>
                <w:noProof/>
                <w:webHidden/>
              </w:rPr>
              <w:instrText xml:space="preserve"> PAGEREF _Toc178345341 \h </w:instrText>
            </w:r>
            <w:r>
              <w:rPr>
                <w:noProof/>
                <w:webHidden/>
              </w:rPr>
            </w:r>
            <w:r>
              <w:rPr>
                <w:noProof/>
                <w:webHidden/>
              </w:rPr>
              <w:fldChar w:fldCharType="separate"/>
            </w:r>
            <w:r>
              <w:rPr>
                <w:noProof/>
                <w:webHidden/>
              </w:rPr>
              <w:t>7</w:t>
            </w:r>
            <w:r>
              <w:rPr>
                <w:noProof/>
                <w:webHidden/>
              </w:rPr>
              <w:fldChar w:fldCharType="end"/>
            </w:r>
          </w:hyperlink>
        </w:p>
        <w:p w14:paraId="3AC3E57F" w14:textId="0DC59921" w:rsidR="00F6550B" w:rsidRDefault="00F6550B">
          <w:pPr>
            <w:pStyle w:val="TOC3"/>
            <w:tabs>
              <w:tab w:val="right" w:leader="dot" w:pos="9350"/>
            </w:tabs>
            <w:rPr>
              <w:noProof/>
              <w:kern w:val="2"/>
              <w:sz w:val="22"/>
              <w:szCs w:val="22"/>
              <w14:ligatures w14:val="standardContextual"/>
            </w:rPr>
          </w:pPr>
          <w:hyperlink w:anchor="_Toc178345342" w:history="1">
            <w:r w:rsidRPr="006B00D0">
              <w:rPr>
                <w:rStyle w:val="Hyperlink"/>
                <w:noProof/>
              </w:rPr>
              <w:t>2.3.7 Nuclear</w:t>
            </w:r>
            <w:r>
              <w:rPr>
                <w:noProof/>
                <w:webHidden/>
              </w:rPr>
              <w:tab/>
            </w:r>
            <w:r>
              <w:rPr>
                <w:noProof/>
                <w:webHidden/>
              </w:rPr>
              <w:fldChar w:fldCharType="begin"/>
            </w:r>
            <w:r>
              <w:rPr>
                <w:noProof/>
                <w:webHidden/>
              </w:rPr>
              <w:instrText xml:space="preserve"> PAGEREF _Toc178345342 \h </w:instrText>
            </w:r>
            <w:r>
              <w:rPr>
                <w:noProof/>
                <w:webHidden/>
              </w:rPr>
            </w:r>
            <w:r>
              <w:rPr>
                <w:noProof/>
                <w:webHidden/>
              </w:rPr>
              <w:fldChar w:fldCharType="separate"/>
            </w:r>
            <w:r>
              <w:rPr>
                <w:noProof/>
                <w:webHidden/>
              </w:rPr>
              <w:t>7</w:t>
            </w:r>
            <w:r>
              <w:rPr>
                <w:noProof/>
                <w:webHidden/>
              </w:rPr>
              <w:fldChar w:fldCharType="end"/>
            </w:r>
          </w:hyperlink>
        </w:p>
        <w:p w14:paraId="084811EE" w14:textId="438B965E" w:rsidR="00F6550B" w:rsidRDefault="00F6550B">
          <w:pPr>
            <w:pStyle w:val="TOC3"/>
            <w:tabs>
              <w:tab w:val="right" w:leader="dot" w:pos="9350"/>
            </w:tabs>
            <w:rPr>
              <w:noProof/>
              <w:kern w:val="2"/>
              <w:sz w:val="22"/>
              <w:szCs w:val="22"/>
              <w14:ligatures w14:val="standardContextual"/>
            </w:rPr>
          </w:pPr>
          <w:hyperlink w:anchor="_Toc178345343" w:history="1">
            <w:r w:rsidRPr="006B00D0">
              <w:rPr>
                <w:rStyle w:val="Hyperlink"/>
                <w:noProof/>
              </w:rPr>
              <w:t>2.3.8 Hydro</w:t>
            </w:r>
            <w:r>
              <w:rPr>
                <w:noProof/>
                <w:webHidden/>
              </w:rPr>
              <w:tab/>
            </w:r>
            <w:r>
              <w:rPr>
                <w:noProof/>
                <w:webHidden/>
              </w:rPr>
              <w:fldChar w:fldCharType="begin"/>
            </w:r>
            <w:r>
              <w:rPr>
                <w:noProof/>
                <w:webHidden/>
              </w:rPr>
              <w:instrText xml:space="preserve"> PAGEREF _Toc178345343 \h </w:instrText>
            </w:r>
            <w:r>
              <w:rPr>
                <w:noProof/>
                <w:webHidden/>
              </w:rPr>
            </w:r>
            <w:r>
              <w:rPr>
                <w:noProof/>
                <w:webHidden/>
              </w:rPr>
              <w:fldChar w:fldCharType="separate"/>
            </w:r>
            <w:r>
              <w:rPr>
                <w:noProof/>
                <w:webHidden/>
              </w:rPr>
              <w:t>7</w:t>
            </w:r>
            <w:r>
              <w:rPr>
                <w:noProof/>
                <w:webHidden/>
              </w:rPr>
              <w:fldChar w:fldCharType="end"/>
            </w:r>
          </w:hyperlink>
        </w:p>
        <w:p w14:paraId="4FE4944D" w14:textId="69676F37" w:rsidR="00F6550B" w:rsidRDefault="00F6550B">
          <w:pPr>
            <w:pStyle w:val="TOC3"/>
            <w:tabs>
              <w:tab w:val="right" w:leader="dot" w:pos="9350"/>
            </w:tabs>
            <w:rPr>
              <w:noProof/>
              <w:kern w:val="2"/>
              <w:sz w:val="22"/>
              <w:szCs w:val="22"/>
              <w14:ligatures w14:val="standardContextual"/>
            </w:rPr>
          </w:pPr>
          <w:hyperlink w:anchor="_Toc178345344" w:history="1">
            <w:r w:rsidRPr="006B00D0">
              <w:rPr>
                <w:rStyle w:val="Hyperlink"/>
                <w:noProof/>
              </w:rPr>
              <w:t>2.3.9 Geothermal</w:t>
            </w:r>
            <w:r>
              <w:rPr>
                <w:noProof/>
                <w:webHidden/>
              </w:rPr>
              <w:tab/>
            </w:r>
            <w:r>
              <w:rPr>
                <w:noProof/>
                <w:webHidden/>
              </w:rPr>
              <w:fldChar w:fldCharType="begin"/>
            </w:r>
            <w:r>
              <w:rPr>
                <w:noProof/>
                <w:webHidden/>
              </w:rPr>
              <w:instrText xml:space="preserve"> PAGEREF _Toc178345344 \h </w:instrText>
            </w:r>
            <w:r>
              <w:rPr>
                <w:noProof/>
                <w:webHidden/>
              </w:rPr>
            </w:r>
            <w:r>
              <w:rPr>
                <w:noProof/>
                <w:webHidden/>
              </w:rPr>
              <w:fldChar w:fldCharType="separate"/>
            </w:r>
            <w:r>
              <w:rPr>
                <w:noProof/>
                <w:webHidden/>
              </w:rPr>
              <w:t>7</w:t>
            </w:r>
            <w:r>
              <w:rPr>
                <w:noProof/>
                <w:webHidden/>
              </w:rPr>
              <w:fldChar w:fldCharType="end"/>
            </w:r>
          </w:hyperlink>
        </w:p>
        <w:p w14:paraId="0F1A3AB2" w14:textId="22D07106" w:rsidR="00F6550B" w:rsidRDefault="00F6550B">
          <w:pPr>
            <w:pStyle w:val="TOC1"/>
            <w:tabs>
              <w:tab w:val="right" w:leader="dot" w:pos="9350"/>
            </w:tabs>
            <w:rPr>
              <w:noProof/>
              <w:kern w:val="2"/>
              <w:sz w:val="22"/>
              <w:szCs w:val="22"/>
              <w14:ligatures w14:val="standardContextual"/>
            </w:rPr>
          </w:pPr>
          <w:hyperlink w:anchor="_Toc178345345" w:history="1">
            <w:r w:rsidRPr="006B00D0">
              <w:rPr>
                <w:rStyle w:val="Hyperlink"/>
                <w:noProof/>
              </w:rPr>
              <w:t>3. Processes</w:t>
            </w:r>
            <w:r>
              <w:rPr>
                <w:noProof/>
                <w:webHidden/>
              </w:rPr>
              <w:tab/>
            </w:r>
            <w:r>
              <w:rPr>
                <w:noProof/>
                <w:webHidden/>
              </w:rPr>
              <w:fldChar w:fldCharType="begin"/>
            </w:r>
            <w:r>
              <w:rPr>
                <w:noProof/>
                <w:webHidden/>
              </w:rPr>
              <w:instrText xml:space="preserve"> PAGEREF _Toc178345345 \h </w:instrText>
            </w:r>
            <w:r>
              <w:rPr>
                <w:noProof/>
                <w:webHidden/>
              </w:rPr>
            </w:r>
            <w:r>
              <w:rPr>
                <w:noProof/>
                <w:webHidden/>
              </w:rPr>
              <w:fldChar w:fldCharType="separate"/>
            </w:r>
            <w:r>
              <w:rPr>
                <w:noProof/>
                <w:webHidden/>
              </w:rPr>
              <w:t>8</w:t>
            </w:r>
            <w:r>
              <w:rPr>
                <w:noProof/>
                <w:webHidden/>
              </w:rPr>
              <w:fldChar w:fldCharType="end"/>
            </w:r>
          </w:hyperlink>
        </w:p>
        <w:p w14:paraId="7C4A87A4" w14:textId="769EE1FB" w:rsidR="00F6550B" w:rsidRDefault="00F6550B">
          <w:pPr>
            <w:pStyle w:val="TOC2"/>
            <w:tabs>
              <w:tab w:val="right" w:leader="dot" w:pos="9350"/>
            </w:tabs>
            <w:rPr>
              <w:noProof/>
              <w:kern w:val="2"/>
              <w:sz w:val="22"/>
              <w:szCs w:val="22"/>
              <w14:ligatures w14:val="standardContextual"/>
            </w:rPr>
          </w:pPr>
          <w:hyperlink w:anchor="_Toc178345346" w:history="1">
            <w:r w:rsidRPr="006B00D0">
              <w:rPr>
                <w:rStyle w:val="Hyperlink"/>
                <w:noProof/>
              </w:rPr>
              <w:t>3.1 Power production calculation</w:t>
            </w:r>
            <w:r>
              <w:rPr>
                <w:noProof/>
                <w:webHidden/>
              </w:rPr>
              <w:tab/>
            </w:r>
            <w:r>
              <w:rPr>
                <w:noProof/>
                <w:webHidden/>
              </w:rPr>
              <w:fldChar w:fldCharType="begin"/>
            </w:r>
            <w:r>
              <w:rPr>
                <w:noProof/>
                <w:webHidden/>
              </w:rPr>
              <w:instrText xml:space="preserve"> PAGEREF _Toc178345346 \h </w:instrText>
            </w:r>
            <w:r>
              <w:rPr>
                <w:noProof/>
                <w:webHidden/>
              </w:rPr>
            </w:r>
            <w:r>
              <w:rPr>
                <w:noProof/>
                <w:webHidden/>
              </w:rPr>
              <w:fldChar w:fldCharType="separate"/>
            </w:r>
            <w:r>
              <w:rPr>
                <w:noProof/>
                <w:webHidden/>
              </w:rPr>
              <w:t>8</w:t>
            </w:r>
            <w:r>
              <w:rPr>
                <w:noProof/>
                <w:webHidden/>
              </w:rPr>
              <w:fldChar w:fldCharType="end"/>
            </w:r>
          </w:hyperlink>
        </w:p>
        <w:p w14:paraId="52429BA2" w14:textId="35507238" w:rsidR="00F6550B" w:rsidRDefault="00F6550B">
          <w:pPr>
            <w:pStyle w:val="TOC2"/>
            <w:tabs>
              <w:tab w:val="right" w:leader="dot" w:pos="9350"/>
            </w:tabs>
            <w:rPr>
              <w:noProof/>
              <w:kern w:val="2"/>
              <w:sz w:val="22"/>
              <w:szCs w:val="22"/>
              <w14:ligatures w14:val="standardContextual"/>
            </w:rPr>
          </w:pPr>
          <w:hyperlink w:anchor="_Toc178345347" w:history="1">
            <w:r w:rsidRPr="006B00D0">
              <w:rPr>
                <w:rStyle w:val="Hyperlink"/>
                <w:noProof/>
              </w:rPr>
              <w:t>3.2 Capacity activity calculation</w:t>
            </w:r>
            <w:r>
              <w:rPr>
                <w:noProof/>
                <w:webHidden/>
              </w:rPr>
              <w:tab/>
            </w:r>
            <w:r>
              <w:rPr>
                <w:noProof/>
                <w:webHidden/>
              </w:rPr>
              <w:fldChar w:fldCharType="begin"/>
            </w:r>
            <w:r>
              <w:rPr>
                <w:noProof/>
                <w:webHidden/>
              </w:rPr>
              <w:instrText xml:space="preserve"> PAGEREF _Toc178345347 \h </w:instrText>
            </w:r>
            <w:r>
              <w:rPr>
                <w:noProof/>
                <w:webHidden/>
              </w:rPr>
            </w:r>
            <w:r>
              <w:rPr>
                <w:noProof/>
                <w:webHidden/>
              </w:rPr>
              <w:fldChar w:fldCharType="separate"/>
            </w:r>
            <w:r>
              <w:rPr>
                <w:noProof/>
                <w:webHidden/>
              </w:rPr>
              <w:t>9</w:t>
            </w:r>
            <w:r>
              <w:rPr>
                <w:noProof/>
                <w:webHidden/>
              </w:rPr>
              <w:fldChar w:fldCharType="end"/>
            </w:r>
          </w:hyperlink>
        </w:p>
        <w:p w14:paraId="605975D5" w14:textId="17F4D17D" w:rsidR="00F6550B" w:rsidRDefault="00F6550B">
          <w:pPr>
            <w:pStyle w:val="TOC3"/>
            <w:tabs>
              <w:tab w:val="right" w:leader="dot" w:pos="9350"/>
            </w:tabs>
            <w:rPr>
              <w:noProof/>
              <w:kern w:val="2"/>
              <w:sz w:val="22"/>
              <w:szCs w:val="22"/>
              <w14:ligatures w14:val="standardContextual"/>
            </w:rPr>
          </w:pPr>
          <w:hyperlink w:anchor="_Toc178345348" w:history="1">
            <w:r w:rsidRPr="006B00D0">
              <w:rPr>
                <w:rStyle w:val="Hyperlink"/>
                <w:noProof/>
              </w:rPr>
              <w:t>3.2.1 Operational capacity and installed capacity</w:t>
            </w:r>
            <w:r>
              <w:rPr>
                <w:noProof/>
                <w:webHidden/>
              </w:rPr>
              <w:tab/>
            </w:r>
            <w:r>
              <w:rPr>
                <w:noProof/>
                <w:webHidden/>
              </w:rPr>
              <w:fldChar w:fldCharType="begin"/>
            </w:r>
            <w:r>
              <w:rPr>
                <w:noProof/>
                <w:webHidden/>
              </w:rPr>
              <w:instrText xml:space="preserve"> PAGEREF _Toc178345348 \h </w:instrText>
            </w:r>
            <w:r>
              <w:rPr>
                <w:noProof/>
                <w:webHidden/>
              </w:rPr>
            </w:r>
            <w:r>
              <w:rPr>
                <w:noProof/>
                <w:webHidden/>
              </w:rPr>
              <w:fldChar w:fldCharType="separate"/>
            </w:r>
            <w:r>
              <w:rPr>
                <w:noProof/>
                <w:webHidden/>
              </w:rPr>
              <w:t>9</w:t>
            </w:r>
            <w:r>
              <w:rPr>
                <w:noProof/>
                <w:webHidden/>
              </w:rPr>
              <w:fldChar w:fldCharType="end"/>
            </w:r>
          </w:hyperlink>
        </w:p>
        <w:p w14:paraId="630A605E" w14:textId="1DD71BAA" w:rsidR="00F6550B" w:rsidRDefault="00F6550B">
          <w:pPr>
            <w:pStyle w:val="TOC3"/>
            <w:tabs>
              <w:tab w:val="right" w:leader="dot" w:pos="9350"/>
            </w:tabs>
            <w:rPr>
              <w:noProof/>
              <w:kern w:val="2"/>
              <w:sz w:val="22"/>
              <w:szCs w:val="22"/>
              <w14:ligatures w14:val="standardContextual"/>
            </w:rPr>
          </w:pPr>
          <w:hyperlink w:anchor="_Toc178345349" w:history="1">
            <w:r w:rsidRPr="006B00D0">
              <w:rPr>
                <w:rStyle w:val="Hyperlink"/>
                <w:noProof/>
              </w:rPr>
              <w:t>3.2.2 Capacity retirement</w:t>
            </w:r>
            <w:r>
              <w:rPr>
                <w:noProof/>
                <w:webHidden/>
              </w:rPr>
              <w:tab/>
            </w:r>
            <w:r>
              <w:rPr>
                <w:noProof/>
                <w:webHidden/>
              </w:rPr>
              <w:fldChar w:fldCharType="begin"/>
            </w:r>
            <w:r>
              <w:rPr>
                <w:noProof/>
                <w:webHidden/>
              </w:rPr>
              <w:instrText xml:space="preserve"> PAGEREF _Toc178345349 \h </w:instrText>
            </w:r>
            <w:r>
              <w:rPr>
                <w:noProof/>
                <w:webHidden/>
              </w:rPr>
            </w:r>
            <w:r>
              <w:rPr>
                <w:noProof/>
                <w:webHidden/>
              </w:rPr>
              <w:fldChar w:fldCharType="separate"/>
            </w:r>
            <w:r>
              <w:rPr>
                <w:noProof/>
                <w:webHidden/>
              </w:rPr>
              <w:t>10</w:t>
            </w:r>
            <w:r>
              <w:rPr>
                <w:noProof/>
                <w:webHidden/>
              </w:rPr>
              <w:fldChar w:fldCharType="end"/>
            </w:r>
          </w:hyperlink>
        </w:p>
        <w:p w14:paraId="201FD6E2" w14:textId="622A53AC" w:rsidR="00F6550B" w:rsidRDefault="00F6550B">
          <w:pPr>
            <w:pStyle w:val="TOC3"/>
            <w:tabs>
              <w:tab w:val="right" w:leader="dot" w:pos="9350"/>
            </w:tabs>
            <w:rPr>
              <w:noProof/>
              <w:kern w:val="2"/>
              <w:sz w:val="22"/>
              <w:szCs w:val="22"/>
              <w14:ligatures w14:val="standardContextual"/>
            </w:rPr>
          </w:pPr>
          <w:hyperlink w:anchor="_Toc178345350" w:history="1">
            <w:r w:rsidRPr="006B00D0">
              <w:rPr>
                <w:rStyle w:val="Hyperlink"/>
                <w:noProof/>
              </w:rPr>
              <w:t>3.2.3 Simultaneous capacity addition and pre-mature retirement</w:t>
            </w:r>
            <w:r>
              <w:rPr>
                <w:noProof/>
                <w:webHidden/>
              </w:rPr>
              <w:tab/>
            </w:r>
            <w:r>
              <w:rPr>
                <w:noProof/>
                <w:webHidden/>
              </w:rPr>
              <w:fldChar w:fldCharType="begin"/>
            </w:r>
            <w:r>
              <w:rPr>
                <w:noProof/>
                <w:webHidden/>
              </w:rPr>
              <w:instrText xml:space="preserve"> PAGEREF _Toc178345350 \h </w:instrText>
            </w:r>
            <w:r>
              <w:rPr>
                <w:noProof/>
                <w:webHidden/>
              </w:rPr>
            </w:r>
            <w:r>
              <w:rPr>
                <w:noProof/>
                <w:webHidden/>
              </w:rPr>
              <w:fldChar w:fldCharType="separate"/>
            </w:r>
            <w:r>
              <w:rPr>
                <w:noProof/>
                <w:webHidden/>
              </w:rPr>
              <w:t>10</w:t>
            </w:r>
            <w:r>
              <w:rPr>
                <w:noProof/>
                <w:webHidden/>
              </w:rPr>
              <w:fldChar w:fldCharType="end"/>
            </w:r>
          </w:hyperlink>
        </w:p>
        <w:p w14:paraId="008362B0" w14:textId="39016571" w:rsidR="00F6550B" w:rsidRDefault="00F6550B">
          <w:pPr>
            <w:pStyle w:val="TOC2"/>
            <w:tabs>
              <w:tab w:val="right" w:leader="dot" w:pos="9350"/>
            </w:tabs>
            <w:rPr>
              <w:noProof/>
              <w:kern w:val="2"/>
              <w:sz w:val="22"/>
              <w:szCs w:val="22"/>
              <w14:ligatures w14:val="standardContextual"/>
            </w:rPr>
          </w:pPr>
          <w:hyperlink w:anchor="_Toc178345351" w:history="1">
            <w:r w:rsidRPr="006B00D0">
              <w:rPr>
                <w:rStyle w:val="Hyperlink"/>
                <w:noProof/>
              </w:rPr>
              <w:t>3.3 Job calculation</w:t>
            </w:r>
            <w:r>
              <w:rPr>
                <w:noProof/>
                <w:webHidden/>
              </w:rPr>
              <w:tab/>
            </w:r>
            <w:r>
              <w:rPr>
                <w:noProof/>
                <w:webHidden/>
              </w:rPr>
              <w:fldChar w:fldCharType="begin"/>
            </w:r>
            <w:r>
              <w:rPr>
                <w:noProof/>
                <w:webHidden/>
              </w:rPr>
              <w:instrText xml:space="preserve"> PAGEREF _Toc178345351 \h </w:instrText>
            </w:r>
            <w:r>
              <w:rPr>
                <w:noProof/>
                <w:webHidden/>
              </w:rPr>
            </w:r>
            <w:r>
              <w:rPr>
                <w:noProof/>
                <w:webHidden/>
              </w:rPr>
              <w:fldChar w:fldCharType="separate"/>
            </w:r>
            <w:r>
              <w:rPr>
                <w:noProof/>
                <w:webHidden/>
              </w:rPr>
              <w:t>10</w:t>
            </w:r>
            <w:r>
              <w:rPr>
                <w:noProof/>
                <w:webHidden/>
              </w:rPr>
              <w:fldChar w:fldCharType="end"/>
            </w:r>
          </w:hyperlink>
        </w:p>
        <w:p w14:paraId="4B6DB176" w14:textId="00451294" w:rsidR="00F6550B" w:rsidRDefault="00F6550B">
          <w:pPr>
            <w:pStyle w:val="TOC3"/>
            <w:tabs>
              <w:tab w:val="right" w:leader="dot" w:pos="9350"/>
            </w:tabs>
            <w:rPr>
              <w:noProof/>
              <w:kern w:val="2"/>
              <w:sz w:val="22"/>
              <w:szCs w:val="22"/>
              <w14:ligatures w14:val="standardContextual"/>
            </w:rPr>
          </w:pPr>
          <w:hyperlink w:anchor="_Toc178345352" w:history="1">
            <w:r w:rsidRPr="006B00D0">
              <w:rPr>
                <w:rStyle w:val="Hyperlink"/>
                <w:noProof/>
              </w:rPr>
              <w:t>3.3.1 Adjustment for O&amp;M jobs</w:t>
            </w:r>
            <w:r>
              <w:rPr>
                <w:noProof/>
                <w:webHidden/>
              </w:rPr>
              <w:tab/>
            </w:r>
            <w:r>
              <w:rPr>
                <w:noProof/>
                <w:webHidden/>
              </w:rPr>
              <w:fldChar w:fldCharType="begin"/>
            </w:r>
            <w:r>
              <w:rPr>
                <w:noProof/>
                <w:webHidden/>
              </w:rPr>
              <w:instrText xml:space="preserve"> PAGEREF _Toc178345352 \h </w:instrText>
            </w:r>
            <w:r>
              <w:rPr>
                <w:noProof/>
                <w:webHidden/>
              </w:rPr>
            </w:r>
            <w:r>
              <w:rPr>
                <w:noProof/>
                <w:webHidden/>
              </w:rPr>
              <w:fldChar w:fldCharType="separate"/>
            </w:r>
            <w:r>
              <w:rPr>
                <w:noProof/>
                <w:webHidden/>
              </w:rPr>
              <w:t>11</w:t>
            </w:r>
            <w:r>
              <w:rPr>
                <w:noProof/>
                <w:webHidden/>
              </w:rPr>
              <w:fldChar w:fldCharType="end"/>
            </w:r>
          </w:hyperlink>
        </w:p>
        <w:p w14:paraId="4A3DC632" w14:textId="3DDBB469" w:rsidR="00F6550B" w:rsidRDefault="00F6550B">
          <w:pPr>
            <w:pStyle w:val="TOC3"/>
            <w:tabs>
              <w:tab w:val="right" w:leader="dot" w:pos="9350"/>
            </w:tabs>
            <w:rPr>
              <w:noProof/>
              <w:kern w:val="2"/>
              <w:sz w:val="22"/>
              <w:szCs w:val="22"/>
              <w14:ligatures w14:val="standardContextual"/>
            </w:rPr>
          </w:pPr>
          <w:hyperlink w:anchor="_Toc178345353" w:history="1">
            <w:r w:rsidRPr="006B00D0">
              <w:rPr>
                <w:rStyle w:val="Hyperlink"/>
                <w:noProof/>
              </w:rPr>
              <w:t>3.3.2 Annual construction job EF</w:t>
            </w:r>
            <w:r>
              <w:rPr>
                <w:noProof/>
                <w:webHidden/>
              </w:rPr>
              <w:tab/>
            </w:r>
            <w:r>
              <w:rPr>
                <w:noProof/>
                <w:webHidden/>
              </w:rPr>
              <w:fldChar w:fldCharType="begin"/>
            </w:r>
            <w:r>
              <w:rPr>
                <w:noProof/>
                <w:webHidden/>
              </w:rPr>
              <w:instrText xml:space="preserve"> PAGEREF _Toc178345353 \h </w:instrText>
            </w:r>
            <w:r>
              <w:rPr>
                <w:noProof/>
                <w:webHidden/>
              </w:rPr>
            </w:r>
            <w:r>
              <w:rPr>
                <w:noProof/>
                <w:webHidden/>
              </w:rPr>
              <w:fldChar w:fldCharType="separate"/>
            </w:r>
            <w:r>
              <w:rPr>
                <w:noProof/>
                <w:webHidden/>
              </w:rPr>
              <w:t>11</w:t>
            </w:r>
            <w:r>
              <w:rPr>
                <w:noProof/>
                <w:webHidden/>
              </w:rPr>
              <w:fldChar w:fldCharType="end"/>
            </w:r>
          </w:hyperlink>
        </w:p>
        <w:p w14:paraId="3EE958A9" w14:textId="5ADA9676" w:rsidR="00F6550B" w:rsidRDefault="00F6550B">
          <w:pPr>
            <w:pStyle w:val="TOC1"/>
            <w:tabs>
              <w:tab w:val="right" w:leader="dot" w:pos="9350"/>
            </w:tabs>
            <w:rPr>
              <w:noProof/>
              <w:kern w:val="2"/>
              <w:sz w:val="22"/>
              <w:szCs w:val="22"/>
              <w14:ligatures w14:val="standardContextual"/>
            </w:rPr>
          </w:pPr>
          <w:hyperlink w:anchor="_Toc178345354" w:history="1">
            <w:r w:rsidRPr="006B00D0">
              <w:rPr>
                <w:rStyle w:val="Hyperlink"/>
                <w:noProof/>
              </w:rPr>
              <w:t>4. Output of the package</w:t>
            </w:r>
            <w:r>
              <w:rPr>
                <w:noProof/>
                <w:webHidden/>
              </w:rPr>
              <w:tab/>
            </w:r>
            <w:r>
              <w:rPr>
                <w:noProof/>
                <w:webHidden/>
              </w:rPr>
              <w:fldChar w:fldCharType="begin"/>
            </w:r>
            <w:r>
              <w:rPr>
                <w:noProof/>
                <w:webHidden/>
              </w:rPr>
              <w:instrText xml:space="preserve"> PAGEREF _Toc178345354 \h </w:instrText>
            </w:r>
            <w:r>
              <w:rPr>
                <w:noProof/>
                <w:webHidden/>
              </w:rPr>
            </w:r>
            <w:r>
              <w:rPr>
                <w:noProof/>
                <w:webHidden/>
              </w:rPr>
              <w:fldChar w:fldCharType="separate"/>
            </w:r>
            <w:r>
              <w:rPr>
                <w:noProof/>
                <w:webHidden/>
              </w:rPr>
              <w:t>12</w:t>
            </w:r>
            <w:r>
              <w:rPr>
                <w:noProof/>
                <w:webHidden/>
              </w:rPr>
              <w:fldChar w:fldCharType="end"/>
            </w:r>
          </w:hyperlink>
        </w:p>
        <w:p w14:paraId="18FB25D6" w14:textId="2DD6769E" w:rsidR="00F6550B" w:rsidRDefault="00F6550B">
          <w:pPr>
            <w:pStyle w:val="TOC1"/>
            <w:tabs>
              <w:tab w:val="right" w:leader="dot" w:pos="9350"/>
            </w:tabs>
            <w:rPr>
              <w:noProof/>
              <w:kern w:val="2"/>
              <w:sz w:val="22"/>
              <w:szCs w:val="22"/>
              <w14:ligatures w14:val="standardContextual"/>
            </w:rPr>
          </w:pPr>
          <w:hyperlink w:anchor="_Toc178345355" w:history="1">
            <w:r w:rsidRPr="006B00D0">
              <w:rPr>
                <w:rStyle w:val="Hyperlink"/>
                <w:noProof/>
              </w:rPr>
              <w:t>5. Future development</w:t>
            </w:r>
            <w:r>
              <w:rPr>
                <w:noProof/>
                <w:webHidden/>
              </w:rPr>
              <w:tab/>
            </w:r>
            <w:r>
              <w:rPr>
                <w:noProof/>
                <w:webHidden/>
              </w:rPr>
              <w:fldChar w:fldCharType="begin"/>
            </w:r>
            <w:r>
              <w:rPr>
                <w:noProof/>
                <w:webHidden/>
              </w:rPr>
              <w:instrText xml:space="preserve"> PAGEREF _Toc178345355 \h </w:instrText>
            </w:r>
            <w:r>
              <w:rPr>
                <w:noProof/>
                <w:webHidden/>
              </w:rPr>
            </w:r>
            <w:r>
              <w:rPr>
                <w:noProof/>
                <w:webHidden/>
              </w:rPr>
              <w:fldChar w:fldCharType="separate"/>
            </w:r>
            <w:r>
              <w:rPr>
                <w:noProof/>
                <w:webHidden/>
              </w:rPr>
              <w:t>12</w:t>
            </w:r>
            <w:r>
              <w:rPr>
                <w:noProof/>
                <w:webHidden/>
              </w:rPr>
              <w:fldChar w:fldCharType="end"/>
            </w:r>
          </w:hyperlink>
        </w:p>
        <w:p w14:paraId="41807406" w14:textId="75E73F6E" w:rsidR="00761626" w:rsidRDefault="00761626">
          <w:pPr>
            <w:sectPr w:rsidR="00761626">
              <w:pgSz w:w="12240" w:h="15840"/>
              <w:pgMar w:top="1440" w:right="1440" w:bottom="1440" w:left="1440" w:header="720" w:footer="720" w:gutter="0"/>
              <w:cols w:space="720"/>
              <w:docGrid w:linePitch="360"/>
            </w:sectPr>
          </w:pPr>
          <w:r>
            <w:rPr>
              <w:b/>
              <w:bCs/>
              <w:noProof/>
            </w:rPr>
            <w:fldChar w:fldCharType="end"/>
          </w:r>
        </w:p>
      </w:sdtContent>
    </w:sdt>
    <w:p w14:paraId="2124E3A8" w14:textId="76DB1609" w:rsidR="00D40719" w:rsidRDefault="00D40719" w:rsidP="00D40719">
      <w:pPr>
        <w:pStyle w:val="Heading1"/>
      </w:pPr>
      <w:bookmarkStart w:id="0" w:name="_Toc178345327"/>
      <w:r>
        <w:lastRenderedPageBreak/>
        <w:t xml:space="preserve">1. </w:t>
      </w:r>
      <w:r w:rsidR="004F677A">
        <w:t>P</w:t>
      </w:r>
      <w:r>
        <w:t>ackage</w:t>
      </w:r>
      <w:r w:rsidR="004F677A">
        <w:t xml:space="preserve"> </w:t>
      </w:r>
      <w:r w:rsidR="00DD1F69">
        <w:t>Overview</w:t>
      </w:r>
      <w:bookmarkEnd w:id="0"/>
    </w:p>
    <w:p w14:paraId="7F8BF798" w14:textId="53299113" w:rsidR="00D40719" w:rsidRDefault="00D40719" w:rsidP="00D40719">
      <w:r>
        <w:t xml:space="preserve">This package aims to provide employment projections in the power sector based on GCAM-USA output. </w:t>
      </w:r>
    </w:p>
    <w:p w14:paraId="229BBA1E" w14:textId="565CB935" w:rsidR="00A86070" w:rsidRDefault="003653A6" w:rsidP="00E03C95">
      <w:r w:rsidRPr="00C56958">
        <w:rPr>
          <w:noProof/>
        </w:rPr>
        <w:drawing>
          <wp:inline distT="0" distB="0" distL="0" distR="0" wp14:anchorId="3E3A0FFA" wp14:editId="5483CEF9">
            <wp:extent cx="5936828" cy="2530324"/>
            <wp:effectExtent l="0" t="0" r="0" b="0"/>
            <wp:docPr id="154640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05247"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4208" cy="2533470"/>
                    </a:xfrm>
                    <a:prstGeom prst="rect">
                      <a:avLst/>
                    </a:prstGeom>
                  </pic:spPr>
                </pic:pic>
              </a:graphicData>
            </a:graphic>
          </wp:inline>
        </w:drawing>
      </w:r>
    </w:p>
    <w:p w14:paraId="033EB2D5" w14:textId="0BA27C1A" w:rsidR="00E803B1" w:rsidRDefault="00C46988" w:rsidP="00E03C95">
      <w:r w:rsidRPr="00C46988">
        <w:t>This package processes GCAM-USA output and integrates it with capacity</w:t>
      </w:r>
      <w:r w:rsidR="003F3AAD">
        <w:t xml:space="preserve"> factor</w:t>
      </w:r>
      <w:r w:rsidRPr="00C46988">
        <w:t xml:space="preserve"> and employment factor assumptions to estimate </w:t>
      </w:r>
      <w:r w:rsidR="005B636F">
        <w:t xml:space="preserve">direct </w:t>
      </w:r>
      <w:r w:rsidRPr="00C46988">
        <w:t>employment related to power generation. Employment factors (annual jobs per capacity) for various fuel and job types are derived from the Jobs &amp; Economic Development Impacts (JEDI) Model by NREL (</w:t>
      </w:r>
      <w:hyperlink r:id="rId9" w:history="1">
        <w:r w:rsidRPr="00FD657B">
          <w:rPr>
            <w:rStyle w:val="Hyperlink"/>
          </w:rPr>
          <w:t>https://www.nrel.gov/analysis/jedi/models.html</w:t>
        </w:r>
      </w:hyperlink>
      <w:r w:rsidRPr="00C46988">
        <w:t>).</w:t>
      </w:r>
      <w:r w:rsidR="0006632B">
        <w:t xml:space="preserve"> </w:t>
      </w:r>
    </w:p>
    <w:p w14:paraId="4AA17454" w14:textId="6895DD42" w:rsidR="0006632B" w:rsidRPr="0006632B" w:rsidRDefault="0006632B" w:rsidP="0006632B">
      <w:r>
        <w:t>Section 2 outlines the inputs and assumptions, while Section 3 details the calculation methodology.</w:t>
      </w:r>
      <w:r w:rsidR="00F923BA">
        <w:t xml:space="preserve"> Section 4 </w:t>
      </w:r>
      <w:r w:rsidR="00A620DD">
        <w:t>presents the outcome of this package, and Section</w:t>
      </w:r>
      <w:r w:rsidR="00F923BA">
        <w:t xml:space="preserve"> 5 </w:t>
      </w:r>
      <w:r w:rsidR="00C0091D">
        <w:t>discusses</w:t>
      </w:r>
      <w:r w:rsidR="00F923BA">
        <w:t xml:space="preserve"> future development.</w:t>
      </w:r>
    </w:p>
    <w:p w14:paraId="50E6CC66" w14:textId="08A70207" w:rsidR="00D40719" w:rsidRDefault="00D40719" w:rsidP="00C46988">
      <w:pPr>
        <w:pStyle w:val="Heading1"/>
      </w:pPr>
      <w:bookmarkStart w:id="1" w:name="_Toc178345328"/>
      <w:r>
        <w:t>2. Inputs of the package</w:t>
      </w:r>
      <w:bookmarkEnd w:id="1"/>
    </w:p>
    <w:p w14:paraId="05514EFF" w14:textId="4EC269DE" w:rsidR="0034412E" w:rsidRPr="0034412E" w:rsidRDefault="00972762" w:rsidP="0034412E">
      <w:r>
        <w:t xml:space="preserve">This package uses three main inputs: GCAM-USA output, GCAM </w:t>
      </w:r>
      <w:r w:rsidR="00355389">
        <w:t xml:space="preserve">input </w:t>
      </w:r>
      <w:r>
        <w:t>data</w:t>
      </w:r>
      <w:r w:rsidR="005B636F">
        <w:t xml:space="preserve"> (supplemented by other sources)</w:t>
      </w:r>
      <w:r>
        <w:t>, and employment factor</w:t>
      </w:r>
      <w:r w:rsidR="005B636F">
        <w:t>s</w:t>
      </w:r>
      <w:r>
        <w:t xml:space="preserve"> from the JEDI model</w:t>
      </w:r>
      <w:r w:rsidR="007C23AC">
        <w:t xml:space="preserve"> (supplemented by other sources)</w:t>
      </w:r>
      <w:r>
        <w:t xml:space="preserve">. </w:t>
      </w:r>
      <w:r w:rsidR="00F1489C">
        <w:t>Below is an</w:t>
      </w:r>
      <w:r w:rsidR="0034412E">
        <w:t xml:space="preserve"> overview of each input.</w:t>
      </w:r>
    </w:p>
    <w:p w14:paraId="7340BC87" w14:textId="42E742E9" w:rsidR="00835C63" w:rsidRDefault="00835C63" w:rsidP="004F677A">
      <w:pPr>
        <w:pStyle w:val="Heading2"/>
      </w:pPr>
      <w:bookmarkStart w:id="2" w:name="_Toc178345329"/>
      <w:r>
        <w:t>2.1 GCAM-USA output</w:t>
      </w:r>
      <w:bookmarkEnd w:id="2"/>
      <w:r>
        <w:t xml:space="preserve"> </w:t>
      </w:r>
    </w:p>
    <w:p w14:paraId="0E9CA128" w14:textId="080FCD2B" w:rsidR="002F5A9C" w:rsidRDefault="002F5A9C" w:rsidP="00835C63">
      <w:r>
        <w:t xml:space="preserve">GCAM-USA provides annual </w:t>
      </w:r>
      <w:r w:rsidR="00FF4CD0">
        <w:t>power output projections</w:t>
      </w:r>
      <w:r>
        <w:t xml:space="preserve"> (in exajoules, EJ) by technology and vintage for each model year. The model is calibrated to a base year (2015) and projects </w:t>
      </w:r>
      <w:r w:rsidR="001A576C">
        <w:t>output</w:t>
      </w:r>
      <w:r>
        <w:t xml:space="preserve"> every five years until 2100. For more information, refer to the </w:t>
      </w:r>
      <w:hyperlink r:id="rId10" w:tgtFrame="_new" w:history="1">
        <w:r>
          <w:rPr>
            <w:rStyle w:val="Hyperlink"/>
          </w:rPr>
          <w:t>GCAM-USA model documentation</w:t>
        </w:r>
      </w:hyperlink>
      <w:r>
        <w:t>.</w:t>
      </w:r>
      <w:r w:rsidR="00E803B1" w:rsidRPr="00E803B1">
        <w:t xml:space="preserve"> </w:t>
      </w:r>
      <w:r w:rsidR="00E803B1">
        <w:t xml:space="preserve">This package is compatible with both GCAM-USA output in the original GCAM-USA </w:t>
      </w:r>
      <w:r w:rsidR="00B851FB">
        <w:t xml:space="preserve">output </w:t>
      </w:r>
      <w:r w:rsidR="00E803B1">
        <w:t>database</w:t>
      </w:r>
      <w:r w:rsidR="00B851FB">
        <w:t xml:space="preserve"> (baseX)</w:t>
      </w:r>
      <w:r w:rsidR="00E803B1">
        <w:t xml:space="preserve">, as well as queried project data (.dat). </w:t>
      </w:r>
      <w:r w:rsidR="00284683">
        <w:t xml:space="preserve">The package utilizes the rgcam package (available at </w:t>
      </w:r>
      <w:hyperlink r:id="rId11" w:tgtFrame="_new" w:history="1">
        <w:r w:rsidR="00284683">
          <w:rPr>
            <w:rStyle w:val="Hyperlink"/>
          </w:rPr>
          <w:t>rgcam GitHub</w:t>
        </w:r>
      </w:hyperlink>
      <w:r w:rsidR="00284683">
        <w:t>) to query outcomes from GCAM-USA output</w:t>
      </w:r>
      <w:r w:rsidR="0082057F">
        <w:t>, and</w:t>
      </w:r>
      <w:r w:rsidR="00284683">
        <w:t xml:space="preserve"> </w:t>
      </w:r>
      <w:r w:rsidR="0082057F">
        <w:t>a</w:t>
      </w:r>
      <w:r w:rsidR="00E803B1">
        <w:t xml:space="preserve"> query file containing all necessary queries is included in the package (</w:t>
      </w:r>
      <w:r w:rsidR="00F6550B" w:rsidRPr="004F572D">
        <w:rPr>
          <w:i/>
          <w:iCs/>
        </w:rPr>
        <w:t>GCAMUSAJobs</w:t>
      </w:r>
      <w:r w:rsidR="00E803B1" w:rsidRPr="004F572D">
        <w:rPr>
          <w:i/>
          <w:iCs/>
        </w:rPr>
        <w:t>/inst/extdata/my_batch.xml</w:t>
      </w:r>
      <w:r w:rsidR="00E803B1">
        <w:t xml:space="preserve">). For guidance on querying relevant outcomes, please refer to the package vignette </w:t>
      </w:r>
      <w:r w:rsidR="00780FA4">
        <w:t>(</w:t>
      </w:r>
      <w:hyperlink r:id="rId12" w:history="1">
        <w:r w:rsidR="00D33D0F" w:rsidRPr="00C56361">
          <w:rPr>
            <w:rStyle w:val="Hyperlink"/>
          </w:rPr>
          <w:t>https://jgcri.github.io/GCAMUSAJobs/articles/package_vignette.html</w:t>
        </w:r>
      </w:hyperlink>
      <w:r w:rsidR="00E803B1">
        <w:t>).</w:t>
      </w:r>
    </w:p>
    <w:p w14:paraId="0EC04ABA" w14:textId="232EA810" w:rsidR="00FF4CD0" w:rsidRPr="00FF4CD0" w:rsidRDefault="00FF4CD0" w:rsidP="00FF4CD0">
      <w:r w:rsidRPr="00FF4CD0">
        <w:lastRenderedPageBreak/>
        <w:t xml:space="preserve">Since </w:t>
      </w:r>
      <w:r w:rsidR="00E53942">
        <w:t xml:space="preserve">the </w:t>
      </w:r>
      <w:r w:rsidRPr="00FF4CD0">
        <w:t>JEDI employment factor</w:t>
      </w:r>
      <w:r w:rsidR="005B636F">
        <w:t>s</w:t>
      </w:r>
      <w:r w:rsidRPr="00FF4CD0">
        <w:t xml:space="preserve"> (discussed in</w:t>
      </w:r>
      <w:r w:rsidR="009E6AF7">
        <w:t xml:space="preserve"> </w:t>
      </w:r>
      <w:r w:rsidR="009E6AF7" w:rsidRPr="005A696E">
        <w:rPr>
          <w:b/>
          <w:bCs/>
          <w:i/>
          <w:iCs/>
        </w:rPr>
        <w:t xml:space="preserve">Section </w:t>
      </w:r>
      <w:r w:rsidR="009E6AF7" w:rsidRPr="005A696E">
        <w:rPr>
          <w:b/>
          <w:bCs/>
          <w:i/>
          <w:iCs/>
        </w:rPr>
        <w:fldChar w:fldCharType="begin"/>
      </w:r>
      <w:r w:rsidR="009E6AF7" w:rsidRPr="005A696E">
        <w:rPr>
          <w:b/>
          <w:bCs/>
          <w:i/>
          <w:iCs/>
        </w:rPr>
        <w:instrText xml:space="preserve"> REF _Ref177376954 \h </w:instrText>
      </w:r>
      <w:r w:rsidR="005A696E" w:rsidRPr="005A696E">
        <w:rPr>
          <w:b/>
          <w:bCs/>
          <w:i/>
          <w:iCs/>
        </w:rPr>
        <w:instrText xml:space="preserve"> \* MERGEFORMAT </w:instrText>
      </w:r>
      <w:r w:rsidR="009E6AF7" w:rsidRPr="005A696E">
        <w:rPr>
          <w:b/>
          <w:bCs/>
          <w:i/>
          <w:iCs/>
        </w:rPr>
      </w:r>
      <w:r w:rsidR="009E6AF7" w:rsidRPr="005A696E">
        <w:rPr>
          <w:b/>
          <w:bCs/>
          <w:i/>
          <w:iCs/>
        </w:rPr>
        <w:fldChar w:fldCharType="separate"/>
      </w:r>
      <w:r w:rsidR="009E6AF7" w:rsidRPr="005A696E">
        <w:rPr>
          <w:b/>
          <w:bCs/>
          <w:i/>
          <w:iCs/>
        </w:rPr>
        <w:t>2.3</w:t>
      </w:r>
      <w:r w:rsidR="009E6AF7" w:rsidRPr="005A696E">
        <w:rPr>
          <w:b/>
          <w:bCs/>
          <w:i/>
          <w:iCs/>
        </w:rPr>
        <w:fldChar w:fldCharType="end"/>
      </w:r>
      <w:r w:rsidRPr="00FF4CD0">
        <w:t xml:space="preserve">) </w:t>
      </w:r>
      <w:r w:rsidR="005B636F">
        <w:t>are</w:t>
      </w:r>
      <w:r w:rsidRPr="00FF4CD0">
        <w:t xml:space="preserve"> based on capacity, we need data </w:t>
      </w:r>
      <w:r w:rsidR="00473AE3">
        <w:t>on GCAM-USA</w:t>
      </w:r>
      <w:r w:rsidRPr="00FF4CD0">
        <w:t xml:space="preserve"> </w:t>
      </w:r>
      <w:r w:rsidR="00E53942">
        <w:t xml:space="preserve">electricity </w:t>
      </w:r>
      <w:r w:rsidR="00473AE3">
        <w:t>outcomes</w:t>
      </w:r>
      <w:r w:rsidR="004634A0">
        <w:t xml:space="preserve"> in capacity terms</w:t>
      </w:r>
      <w:r w:rsidRPr="00FF4CD0">
        <w:t xml:space="preserve">, including operational capacity, newly installed capacity, and retired capacity. However, GCAM-USA does not directly track capacity levels. Instead, we derive capacity information from </w:t>
      </w:r>
      <w:r w:rsidR="00997D69">
        <w:t xml:space="preserve">annual </w:t>
      </w:r>
      <w:r w:rsidRPr="00FF4CD0">
        <w:t xml:space="preserve">power generation </w:t>
      </w:r>
      <w:r w:rsidR="00C57429">
        <w:t>outcomes</w:t>
      </w:r>
      <w:r w:rsidRPr="00FF4CD0">
        <w:t>.</w:t>
      </w:r>
    </w:p>
    <w:p w14:paraId="254E1A28" w14:textId="62F84BF1" w:rsidR="00BE1033" w:rsidRPr="00FF4CD0" w:rsidRDefault="00FF4CD0" w:rsidP="00BE1033">
      <w:r w:rsidRPr="00FF4CD0">
        <w:t>Power generation outcomes are obtained through two queries</w:t>
      </w:r>
      <w:r w:rsidR="00BE1033">
        <w:t xml:space="preserve"> below, and d</w:t>
      </w:r>
      <w:r w:rsidR="00BE1033" w:rsidRPr="00FF4CD0">
        <w:t xml:space="preserve">etailed query information can be found in </w:t>
      </w:r>
      <w:r w:rsidR="0006686B" w:rsidRPr="00DD728B">
        <w:rPr>
          <w:i/>
          <w:iCs/>
        </w:rPr>
        <w:t>GCAMUSAJobs</w:t>
      </w:r>
      <w:r w:rsidR="00BE1033" w:rsidRPr="00DD728B">
        <w:rPr>
          <w:i/>
          <w:iCs/>
        </w:rPr>
        <w:t>/inst/extdata/my_batch.xml</w:t>
      </w:r>
      <w:r w:rsidR="00BE1033" w:rsidRPr="00DD728B">
        <w:t>.</w:t>
      </w:r>
      <w:r w:rsidR="00BE1033" w:rsidRPr="00FF4CD0">
        <w:t xml:space="preserve"> </w:t>
      </w:r>
    </w:p>
    <w:p w14:paraId="43AC9754" w14:textId="02D394C7" w:rsidR="00FF4CD0" w:rsidRPr="00FF4CD0" w:rsidRDefault="008740D9" w:rsidP="008740D9">
      <w:pPr>
        <w:rPr>
          <w:i/>
          <w:iCs/>
        </w:rPr>
      </w:pPr>
      <w:r>
        <w:rPr>
          <w:i/>
          <w:iCs/>
        </w:rPr>
        <w:t xml:space="preserve">1. </w:t>
      </w:r>
      <w:r w:rsidR="00FF4CD0" w:rsidRPr="00FF4CD0">
        <w:rPr>
          <w:i/>
          <w:iCs/>
        </w:rPr>
        <w:t>'elec energy input by elec gen tech by vintage'</w:t>
      </w:r>
    </w:p>
    <w:p w14:paraId="4F364BBB" w14:textId="1AB7AE86" w:rsidR="00FF4CD0" w:rsidRPr="00FF4CD0" w:rsidRDefault="008740D9" w:rsidP="008740D9">
      <w:pPr>
        <w:rPr>
          <w:i/>
          <w:iCs/>
        </w:rPr>
      </w:pPr>
      <w:r>
        <w:rPr>
          <w:i/>
          <w:iCs/>
        </w:rPr>
        <w:t xml:space="preserve">2. </w:t>
      </w:r>
      <w:r w:rsidR="00FF4CD0" w:rsidRPr="00FF4CD0">
        <w:rPr>
          <w:i/>
          <w:iCs/>
        </w:rPr>
        <w:t>'</w:t>
      </w:r>
      <w:r w:rsidR="008619E8" w:rsidRPr="008619E8">
        <w:rPr>
          <w:i/>
          <w:iCs/>
        </w:rPr>
        <w:t>elec gen by gen tech and cooling tech (incl cogen) by vintage</w:t>
      </w:r>
      <w:r w:rsidR="00FF4CD0" w:rsidRPr="00FF4CD0">
        <w:rPr>
          <w:i/>
          <w:iCs/>
        </w:rPr>
        <w:t>'</w:t>
      </w:r>
    </w:p>
    <w:p w14:paraId="4BA859C3" w14:textId="7396F139" w:rsidR="00D40719" w:rsidRDefault="00D40719" w:rsidP="004F677A">
      <w:pPr>
        <w:pStyle w:val="Heading2"/>
      </w:pPr>
      <w:bookmarkStart w:id="3" w:name="_Toc178345330"/>
      <w:r>
        <w:t>2.</w:t>
      </w:r>
      <w:r w:rsidR="00835C63">
        <w:t>2</w:t>
      </w:r>
      <w:r>
        <w:t xml:space="preserve"> </w:t>
      </w:r>
      <w:r w:rsidR="002B6B9C">
        <w:t>GC</w:t>
      </w:r>
      <w:r w:rsidR="009B53F4">
        <w:t>AM</w:t>
      </w:r>
      <w:r w:rsidR="008619E8">
        <w:t>-USA</w:t>
      </w:r>
      <w:r w:rsidR="009B53F4">
        <w:t xml:space="preserve"> </w:t>
      </w:r>
      <w:r w:rsidR="00DD2F47">
        <w:t>a</w:t>
      </w:r>
      <w:r>
        <w:t>ssumptions</w:t>
      </w:r>
      <w:bookmarkEnd w:id="3"/>
    </w:p>
    <w:p w14:paraId="2FFF90F4" w14:textId="3D08EDC4" w:rsidR="00ED7E60" w:rsidRDefault="00B85821" w:rsidP="00ED7E60">
      <w:r>
        <w:t>GCAM</w:t>
      </w:r>
      <w:r w:rsidR="00040CF0">
        <w:t>-USA</w:t>
      </w:r>
      <w:r>
        <w:t xml:space="preserve"> assumptions used in this package consist of (1) </w:t>
      </w:r>
      <w:r w:rsidRPr="00007DB1">
        <w:rPr>
          <w:i/>
          <w:iCs/>
        </w:rPr>
        <w:t>capacity factor by technology</w:t>
      </w:r>
      <w:r w:rsidR="005B636F">
        <w:rPr>
          <w:i/>
          <w:iCs/>
        </w:rPr>
        <w:t xml:space="preserve"> (supplemented by other sources)</w:t>
      </w:r>
      <w:r w:rsidR="00536F9D">
        <w:t xml:space="preserve">, </w:t>
      </w:r>
      <w:r>
        <w:t>(2)</w:t>
      </w:r>
      <w:r w:rsidR="009647ED">
        <w:t xml:space="preserve"> </w:t>
      </w:r>
      <w:r w:rsidR="009647ED" w:rsidRPr="00007DB1">
        <w:rPr>
          <w:i/>
          <w:iCs/>
        </w:rPr>
        <w:t>retirement assumptions</w:t>
      </w:r>
      <w:r w:rsidR="00536F9D">
        <w:t>,</w:t>
      </w:r>
      <w:r w:rsidR="008B3E96">
        <w:t xml:space="preserve"> and (3) </w:t>
      </w:r>
      <w:r w:rsidR="008B3E96" w:rsidRPr="00007DB1">
        <w:rPr>
          <w:i/>
          <w:iCs/>
        </w:rPr>
        <w:t>variable and fixed operation and maintenance (OM) cost</w:t>
      </w:r>
      <w:r w:rsidR="008B3E96">
        <w:t>.</w:t>
      </w:r>
      <w:r w:rsidR="008F6AAE">
        <w:t xml:space="preserve"> </w:t>
      </w:r>
      <w:r w:rsidR="00253F40" w:rsidRPr="00253F40">
        <w:t xml:space="preserve">Capacity factors and retirement assumptions help derive </w:t>
      </w:r>
      <w:r w:rsidR="00253F40">
        <w:t xml:space="preserve">capacity </w:t>
      </w:r>
      <w:r w:rsidR="00CE1DD8">
        <w:t>levels</w:t>
      </w:r>
      <w:r w:rsidR="003A2946">
        <w:t xml:space="preserve"> </w:t>
      </w:r>
      <w:r w:rsidR="00253F40" w:rsidRPr="00253F40">
        <w:t xml:space="preserve">for operational, newly installed, and retired capacity. The </w:t>
      </w:r>
      <w:r w:rsidR="00CA1767">
        <w:t xml:space="preserve">variable and fixed </w:t>
      </w:r>
      <w:r w:rsidR="00253F40" w:rsidRPr="00253F40">
        <w:t>O&amp;M cost</w:t>
      </w:r>
      <w:r w:rsidR="0099770D">
        <w:t xml:space="preserve">s are </w:t>
      </w:r>
      <w:r w:rsidR="00253F40" w:rsidRPr="00253F40">
        <w:t>used to differentiate between variable and fixed O&amp;M employment factors from JEDI</w:t>
      </w:r>
      <w:r w:rsidR="00F85C6F">
        <w:t xml:space="preserve"> (see </w:t>
      </w:r>
      <w:r w:rsidR="00F85C6F" w:rsidRPr="00F85C6F">
        <w:rPr>
          <w:b/>
          <w:bCs/>
          <w:i/>
          <w:iCs/>
        </w:rPr>
        <w:fldChar w:fldCharType="begin"/>
      </w:r>
      <w:r w:rsidR="00F85C6F" w:rsidRPr="00F85C6F">
        <w:rPr>
          <w:b/>
          <w:bCs/>
          <w:i/>
          <w:iCs/>
        </w:rPr>
        <w:instrText xml:space="preserve"> REF _Ref177378169 \h  \* MERGEFORMAT </w:instrText>
      </w:r>
      <w:r w:rsidR="00F85C6F" w:rsidRPr="00F85C6F">
        <w:rPr>
          <w:b/>
          <w:bCs/>
          <w:i/>
          <w:iCs/>
        </w:rPr>
      </w:r>
      <w:r w:rsidR="00F85C6F" w:rsidRPr="00F85C6F">
        <w:rPr>
          <w:b/>
          <w:bCs/>
          <w:i/>
          <w:iCs/>
        </w:rPr>
        <w:fldChar w:fldCharType="separate"/>
      </w:r>
      <w:r w:rsidR="00F85C6F" w:rsidRPr="00F85C6F">
        <w:rPr>
          <w:b/>
          <w:bCs/>
          <w:i/>
          <w:iCs/>
        </w:rPr>
        <w:t>3.4.1 Adjustment for O&amp;M job</w:t>
      </w:r>
      <w:r w:rsidR="00F85C6F" w:rsidRPr="00F85C6F">
        <w:rPr>
          <w:b/>
          <w:bCs/>
          <w:i/>
          <w:iCs/>
        </w:rPr>
        <w:fldChar w:fldCharType="end"/>
      </w:r>
      <w:r w:rsidR="00F85C6F">
        <w:t>).</w:t>
      </w:r>
    </w:p>
    <w:p w14:paraId="00E122D4" w14:textId="7026A473" w:rsidR="00B604A0" w:rsidRDefault="00B604A0" w:rsidP="00D8462B">
      <w:pPr>
        <w:pStyle w:val="Heading3"/>
      </w:pPr>
      <w:bookmarkStart w:id="4" w:name="_Toc178345331"/>
      <w:r>
        <w:t>2.2.1 Capacity factor</w:t>
      </w:r>
      <w:bookmarkEnd w:id="4"/>
      <w:r>
        <w:t xml:space="preserve"> </w:t>
      </w:r>
    </w:p>
    <w:p w14:paraId="3CB41F19" w14:textId="393712AE" w:rsidR="0001203B" w:rsidRDefault="00BE4659" w:rsidP="00ED7E60">
      <w:r>
        <w:t>Q</w:t>
      </w:r>
      <w:r w:rsidR="00A8414E">
        <w:t xml:space="preserve">uery </w:t>
      </w:r>
      <w:r w:rsidR="00A8414E" w:rsidRPr="00835C63">
        <w:t>'</w:t>
      </w:r>
      <w:r w:rsidR="00A8414E" w:rsidRPr="00700C69">
        <w:rPr>
          <w:i/>
          <w:iCs/>
        </w:rPr>
        <w:t>GCAM_USA elec cap-fac by cooling tech</w:t>
      </w:r>
      <w:r w:rsidR="00A8414E" w:rsidRPr="00835C63">
        <w:t>'</w:t>
      </w:r>
      <w:r>
        <w:t xml:space="preserve"> provides state-level capacity </w:t>
      </w:r>
      <w:r w:rsidR="0001203B">
        <w:t xml:space="preserve">factor </w:t>
      </w:r>
      <w:r>
        <w:t xml:space="preserve">by </w:t>
      </w:r>
      <w:r w:rsidR="000E067E">
        <w:t xml:space="preserve">fuel </w:t>
      </w:r>
      <w:r>
        <w:t>technolog</w:t>
      </w:r>
      <w:r w:rsidR="000E067E">
        <w:t>y</w:t>
      </w:r>
      <w:r w:rsidR="00653D01">
        <w:t xml:space="preserve"> and segment</w:t>
      </w:r>
      <w:r>
        <w:t>.</w:t>
      </w:r>
      <w:r w:rsidR="005A6355">
        <w:t xml:space="preserve"> </w:t>
      </w:r>
      <w:r w:rsidR="0001203B">
        <w:t>For example,</w:t>
      </w:r>
    </w:p>
    <w:p w14:paraId="5BF0442D" w14:textId="09404C73" w:rsidR="0001203B" w:rsidRDefault="0001203B" w:rsidP="00ED7E60">
      <w:r w:rsidRPr="0001203B">
        <w:rPr>
          <w:noProof/>
        </w:rPr>
        <w:drawing>
          <wp:inline distT="0" distB="0" distL="0" distR="0" wp14:anchorId="02C1802B" wp14:editId="48B4C2A4">
            <wp:extent cx="5943600" cy="900430"/>
            <wp:effectExtent l="0" t="0" r="0" b="0"/>
            <wp:docPr id="40108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81070" name=""/>
                    <pic:cNvPicPr/>
                  </pic:nvPicPr>
                  <pic:blipFill>
                    <a:blip r:embed="rId13"/>
                    <a:stretch>
                      <a:fillRect/>
                    </a:stretch>
                  </pic:blipFill>
                  <pic:spPr>
                    <a:xfrm>
                      <a:off x="0" y="0"/>
                      <a:ext cx="5943600" cy="900430"/>
                    </a:xfrm>
                    <a:prstGeom prst="rect">
                      <a:avLst/>
                    </a:prstGeom>
                  </pic:spPr>
                </pic:pic>
              </a:graphicData>
            </a:graphic>
          </wp:inline>
        </w:drawing>
      </w:r>
    </w:p>
    <w:p w14:paraId="1B890393" w14:textId="0D7027D6" w:rsidR="0001203B" w:rsidRDefault="0001203B" w:rsidP="00ED7E60">
      <w:r w:rsidRPr="0001203B">
        <w:rPr>
          <w:noProof/>
        </w:rPr>
        <w:drawing>
          <wp:inline distT="0" distB="0" distL="0" distR="0" wp14:anchorId="22B5074C" wp14:editId="1F361212">
            <wp:extent cx="5943600" cy="724535"/>
            <wp:effectExtent l="0" t="0" r="0" b="0"/>
            <wp:docPr id="32098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82691" name=""/>
                    <pic:cNvPicPr/>
                  </pic:nvPicPr>
                  <pic:blipFill>
                    <a:blip r:embed="rId14"/>
                    <a:stretch>
                      <a:fillRect/>
                    </a:stretch>
                  </pic:blipFill>
                  <pic:spPr>
                    <a:xfrm>
                      <a:off x="0" y="0"/>
                      <a:ext cx="5943600" cy="724535"/>
                    </a:xfrm>
                    <a:prstGeom prst="rect">
                      <a:avLst/>
                    </a:prstGeom>
                  </pic:spPr>
                </pic:pic>
              </a:graphicData>
            </a:graphic>
          </wp:inline>
        </w:drawing>
      </w:r>
    </w:p>
    <w:p w14:paraId="79E2C6E7" w14:textId="6591225A" w:rsidR="00A8414E" w:rsidRDefault="00A307BE" w:rsidP="00ED7E60">
      <w:r>
        <w:t>Note tha</w:t>
      </w:r>
      <w:r w:rsidR="008D6F94">
        <w:t xml:space="preserve">t </w:t>
      </w:r>
      <w:r w:rsidR="00357DC1" w:rsidRPr="00357DC1">
        <w:t xml:space="preserve">GCAM-USA does not include capacity factors for hydro and geothermal power, </w:t>
      </w:r>
      <w:r w:rsidR="008D6F94">
        <w:t>and</w:t>
      </w:r>
      <w:r w:rsidR="00357DC1" w:rsidRPr="00357DC1">
        <w:t xml:space="preserve"> we use alternative data sources.</w:t>
      </w:r>
      <w:r w:rsidR="00357DC1">
        <w:t xml:space="preserve"> </w:t>
      </w:r>
      <w:r w:rsidR="00C15989">
        <w:t>For hydropower, we use monthly state-level capacity factors from Hall et al. (2003)</w:t>
      </w:r>
      <w:r w:rsidR="00C15989">
        <w:fldChar w:fldCharType="begin"/>
      </w:r>
      <w:r w:rsidR="00C15989">
        <w:instrText xml:space="preserve"> ADDIN ZOTERO_ITEM CSL_CITATION {"citationID":"rbq1jxQt","properties":{"formattedCitation":"\\super 1\\nosupersub{}","plainCitation":"1","noteIndex":0},"citationItems":[{"id":7053,"uris":["http://zotero.org/users/9896081/items/8BDNXQMM"],"itemData":{"id":7053,"type":"report","language":"en","note":"DOI: 10.2172/1218138","number":"None, 1218138, 3750","page":"None, 1218138, 3750","source":"DOI.org (Crossref)","title":"Estimation of economic parameters of U.S. hydropower resources","URL":"https://www.osti.gov/servlets/purl/1218138/","author":[{"family":"Hall","given":"Douglas"},{"family":"Hunt","given":"Richard"},{"family":"Reeves","given":"Kelly"},{"family":"Carroll","given":"Greg"}],"accessed":{"date-parts":[["2024",8,31]]},"issued":{"date-parts":[["2003",6,1]]}}}],"schema":"https://github.com/citation-style-language/schema/raw/master/csl-citation.json"} </w:instrText>
      </w:r>
      <w:r w:rsidR="00C15989">
        <w:fldChar w:fldCharType="separate"/>
      </w:r>
      <w:r w:rsidR="00C15989" w:rsidRPr="009106F5">
        <w:rPr>
          <w:rFonts w:ascii="Calibri" w:hAnsi="Calibri" w:cs="Calibri"/>
          <w:szCs w:val="24"/>
          <w:vertAlign w:val="superscript"/>
        </w:rPr>
        <w:t>1</w:t>
      </w:r>
      <w:r w:rsidR="00C15989">
        <w:fldChar w:fldCharType="end"/>
      </w:r>
      <w:r w:rsidR="00C15989">
        <w:t xml:space="preserve">, with the annual state-level average </w:t>
      </w:r>
      <w:r w:rsidR="006672D6">
        <w:t>used</w:t>
      </w:r>
      <w:r w:rsidR="00C15989">
        <w:t xml:space="preserve"> in this package</w:t>
      </w:r>
      <w:r w:rsidR="00A86540">
        <w:t>. For geothermal power, due to limited data, we use a capacity factor of 0.76, based on estimates from the EIA</w:t>
      </w:r>
      <w:r w:rsidR="00193B83">
        <w:fldChar w:fldCharType="begin"/>
      </w:r>
      <w:r w:rsidR="00193B83">
        <w:instrText xml:space="preserve"> ADDIN ZOTERO_ITEM CSL_CITATION {"citationID":"Fw94YV7L","properties":{"formattedCitation":"\\super 2\\nosupersub{}","plainCitation":"2","noteIndex":0},"citationItems":[{"id":7054,"uris":["http://zotero.org/users/9896081/items/4UW49IQT"],"itemData":{"id":7054,"type":"webpage","abstract":"Energy Information Administration - EIA - Official Energy Statistics from the U.S. Government","title":"Nearly half of U.S. geothermal power capacity came online in the 1980s - U.S. Energy Information Administration (EIA)","URL":"https://www.eia.gov/todayinenergy/detail.php?id=42036","author":[{"family":"EIA","given":""}],"accessed":{"date-parts":[["2024",8,31]]},"issued":{"date-parts":[["2019",11,20]]}}}],"schema":"https://github.com/citation-style-language/schema/raw/master/csl-citation.json"} </w:instrText>
      </w:r>
      <w:r w:rsidR="00193B83">
        <w:fldChar w:fldCharType="separate"/>
      </w:r>
      <w:r w:rsidR="00193B83" w:rsidRPr="00193B83">
        <w:rPr>
          <w:rFonts w:ascii="Calibri" w:hAnsi="Calibri" w:cs="Calibri"/>
          <w:szCs w:val="24"/>
          <w:vertAlign w:val="superscript"/>
        </w:rPr>
        <w:t>2</w:t>
      </w:r>
      <w:r w:rsidR="00193B83">
        <w:fldChar w:fldCharType="end"/>
      </w:r>
      <w:r w:rsidR="00FA6C1A">
        <w:t>.</w:t>
      </w:r>
    </w:p>
    <w:p w14:paraId="4A583CF6" w14:textId="141A71B9" w:rsidR="00D8462B" w:rsidRDefault="00D8462B" w:rsidP="00D8462B">
      <w:pPr>
        <w:pStyle w:val="Heading3"/>
      </w:pPr>
      <w:bookmarkStart w:id="5" w:name="_Toc178345332"/>
      <w:r>
        <w:t>2.2.2 Retirement</w:t>
      </w:r>
      <w:bookmarkEnd w:id="5"/>
      <w:r>
        <w:t xml:space="preserve">  </w:t>
      </w:r>
    </w:p>
    <w:p w14:paraId="349ACFF1" w14:textId="6E019698" w:rsidR="001A7034" w:rsidRDefault="00C71459" w:rsidP="00DC3966">
      <w:r>
        <w:t xml:space="preserve">The </w:t>
      </w:r>
      <w:r w:rsidRPr="004B3579">
        <w:rPr>
          <w:b/>
          <w:bCs/>
          <w:i/>
          <w:iCs/>
        </w:rPr>
        <w:t>SCurve</w:t>
      </w:r>
      <w:r>
        <w:t>, which provides</w:t>
      </w:r>
      <w:r w:rsidR="008B7AF5">
        <w:t xml:space="preserve"> assumed</w:t>
      </w:r>
      <w:r>
        <w:t xml:space="preserve"> retirement </w:t>
      </w:r>
      <w:r>
        <w:t xml:space="preserve">assumptions </w:t>
      </w:r>
      <w:r>
        <w:t>by technology</w:t>
      </w:r>
      <w:r>
        <w:t xml:space="preserve"> and vintage</w:t>
      </w:r>
      <w:r>
        <w:t>, is generated based on GCAM-USA v7.1 assumptions</w:t>
      </w:r>
      <w:r w:rsidR="002E4BF7">
        <w:t xml:space="preserve"> (</w:t>
      </w:r>
      <w:r w:rsidR="00814532" w:rsidRPr="00814532">
        <w:t>GCAMUSAJobs</w:t>
      </w:r>
      <w:r w:rsidR="00814532" w:rsidRPr="00814532">
        <w:t>/</w:t>
      </w:r>
      <w:r w:rsidR="00814532" w:rsidRPr="00814532">
        <w:t>inst</w:t>
      </w:r>
      <w:r w:rsidR="00814532" w:rsidRPr="00814532">
        <w:t>/</w:t>
      </w:r>
      <w:r w:rsidR="00814532" w:rsidRPr="00814532">
        <w:t>extdata</w:t>
      </w:r>
      <w:r w:rsidR="00814532" w:rsidRPr="00814532">
        <w:t>/</w:t>
      </w:r>
      <w:r w:rsidR="00814532" w:rsidRPr="00814532">
        <w:t>GCAM</w:t>
      </w:r>
      <w:r w:rsidR="00814532" w:rsidRPr="00814532">
        <w:t>/</w:t>
      </w:r>
      <w:r w:rsidR="004075D8" w:rsidRPr="00814532">
        <w:t>Assumption.R</w:t>
      </w:r>
      <w:r w:rsidR="002E4BF7">
        <w:t>)</w:t>
      </w:r>
      <w:r>
        <w:t xml:space="preserve"> and is included as package data. Users may need to update these retirement assumptions when using this package with different versions of GCAM-USA. For convenience, </w:t>
      </w:r>
      <w:r w:rsidR="00DB6106">
        <w:t>scripts</w:t>
      </w:r>
      <w:r w:rsidR="00684EE8">
        <w:t xml:space="preserve"> </w:t>
      </w:r>
      <w:r w:rsidR="00DB6106">
        <w:t>and data to generate</w:t>
      </w:r>
      <w:r w:rsidR="00A23F3E">
        <w:t xml:space="preserve"> the</w:t>
      </w:r>
      <w:r w:rsidR="00DB6106">
        <w:t xml:space="preserve"> </w:t>
      </w:r>
      <w:r w:rsidR="00DB6106" w:rsidRPr="00DB6106">
        <w:rPr>
          <w:b/>
          <w:bCs/>
          <w:i/>
          <w:iCs/>
        </w:rPr>
        <w:t>SCurve</w:t>
      </w:r>
      <w:r>
        <w:t xml:space="preserve"> </w:t>
      </w:r>
      <w:r w:rsidR="00DB6106">
        <w:t xml:space="preserve">for </w:t>
      </w:r>
      <w:r>
        <w:t xml:space="preserve">GCAM-USA v6 </w:t>
      </w:r>
      <w:r>
        <w:lastRenderedPageBreak/>
        <w:t>is also provided</w:t>
      </w:r>
      <w:r w:rsidR="00A23F3E">
        <w:t xml:space="preserve"> (</w:t>
      </w:r>
      <w:r w:rsidR="00A23F3E" w:rsidRPr="00814532">
        <w:t>GCAMUSAJobs/inst/extdata/GCAM/</w:t>
      </w:r>
      <w:r w:rsidR="00553832">
        <w:t>GCAM6</w:t>
      </w:r>
      <w:r w:rsidR="00A23F3E">
        <w:t>).</w:t>
      </w:r>
      <w:r>
        <w:t xml:space="preserve"> </w:t>
      </w:r>
      <w:r w:rsidR="00913AF7" w:rsidRPr="00913AF7">
        <w:rPr>
          <w:noProof/>
        </w:rPr>
        <w:drawing>
          <wp:inline distT="0" distB="0" distL="0" distR="0" wp14:anchorId="02AEAFF5" wp14:editId="55548139">
            <wp:extent cx="5943600" cy="1414780"/>
            <wp:effectExtent l="0" t="0" r="0" b="0"/>
            <wp:docPr id="192379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95189" name=""/>
                    <pic:cNvPicPr/>
                  </pic:nvPicPr>
                  <pic:blipFill>
                    <a:blip r:embed="rId15"/>
                    <a:stretch>
                      <a:fillRect/>
                    </a:stretch>
                  </pic:blipFill>
                  <pic:spPr>
                    <a:xfrm>
                      <a:off x="0" y="0"/>
                      <a:ext cx="5943600" cy="1414780"/>
                    </a:xfrm>
                    <a:prstGeom prst="rect">
                      <a:avLst/>
                    </a:prstGeom>
                  </pic:spPr>
                </pic:pic>
              </a:graphicData>
            </a:graphic>
          </wp:inline>
        </w:drawing>
      </w:r>
    </w:p>
    <w:p w14:paraId="66D9BDEE" w14:textId="4C63A09E" w:rsidR="00D8462B" w:rsidRDefault="00DC3966" w:rsidP="000269A6">
      <w:pPr>
        <w:pStyle w:val="Heading3"/>
      </w:pPr>
      <w:bookmarkStart w:id="6" w:name="_Toc178345333"/>
      <w:r>
        <w:t>2.2.3 O&amp;M</w:t>
      </w:r>
      <w:r w:rsidR="007F23EC">
        <w:t xml:space="preserve"> cost</w:t>
      </w:r>
      <w:bookmarkEnd w:id="6"/>
      <w:r>
        <w:t xml:space="preserve">  </w:t>
      </w:r>
    </w:p>
    <w:p w14:paraId="3774D73D" w14:textId="69BFC722" w:rsidR="009A64BC" w:rsidRDefault="00D63B47" w:rsidP="000269A6">
      <w:r>
        <w:t xml:space="preserve">The </w:t>
      </w:r>
      <w:r w:rsidR="009C0133" w:rsidRPr="00A422D0">
        <w:rPr>
          <w:b/>
          <w:bCs/>
          <w:i/>
          <w:iCs/>
        </w:rPr>
        <w:t>OM_cost</w:t>
      </w:r>
      <w:r w:rsidR="009C0133">
        <w:t xml:space="preserve">, </w:t>
      </w:r>
      <w:r w:rsidR="0055429A">
        <w:t>provid</w:t>
      </w:r>
      <w:r w:rsidR="00901A2F">
        <w:t>ing</w:t>
      </w:r>
      <w:r w:rsidR="009C0133">
        <w:t xml:space="preserve"> fixed O&amp;M cost (</w:t>
      </w:r>
      <w:r w:rsidR="00B8686E" w:rsidRPr="00B8686E">
        <w:t>1975$/kW/y</w:t>
      </w:r>
      <w:r w:rsidR="00433818">
        <w:t>ea</w:t>
      </w:r>
      <w:r w:rsidR="00B8686E" w:rsidRPr="00B8686E">
        <w:t>r</w:t>
      </w:r>
      <w:r w:rsidR="009C0133">
        <w:t xml:space="preserve">) and variable O&amp;M cost </w:t>
      </w:r>
      <w:r w:rsidR="004542C6">
        <w:t>(</w:t>
      </w:r>
      <w:r w:rsidR="004542C6" w:rsidRPr="004542C6">
        <w:t>1975$/MWh</w:t>
      </w:r>
      <w:r w:rsidR="004542C6">
        <w:t xml:space="preserve">) </w:t>
      </w:r>
      <w:r w:rsidR="009C0133">
        <w:t>by fuel technology over time</w:t>
      </w:r>
      <w:r w:rsidR="00F849BC">
        <w:t>,</w:t>
      </w:r>
      <w:r w:rsidR="003756C2">
        <w:t xml:space="preserve"> is generated based on GCAM-USA v7.1 assumptions (</w:t>
      </w:r>
      <w:r w:rsidR="00BE5A73" w:rsidRPr="00814532">
        <w:t>GCAMUSAJobs/inst/extdata/GCAM/Assumption.R</w:t>
      </w:r>
      <w:r w:rsidR="003756C2">
        <w:t xml:space="preserve">) and </w:t>
      </w:r>
      <w:r w:rsidR="00EF51E9">
        <w:t>included</w:t>
      </w:r>
      <w:r w:rsidR="003756C2">
        <w:t xml:space="preserve"> as package data. </w:t>
      </w:r>
      <w:r w:rsidR="00713E09">
        <w:t>Users should</w:t>
      </w:r>
      <w:r w:rsidR="003756C2">
        <w:t xml:space="preserve"> update the </w:t>
      </w:r>
      <w:r w:rsidR="00EC4A5B" w:rsidRPr="007967C7">
        <w:rPr>
          <w:b/>
          <w:bCs/>
          <w:i/>
          <w:iCs/>
        </w:rPr>
        <w:t>OM_cost</w:t>
      </w:r>
      <w:r w:rsidR="003756C2">
        <w:t xml:space="preserve"> </w:t>
      </w:r>
      <w:r w:rsidR="002D6C8E">
        <w:t xml:space="preserve">if </w:t>
      </w:r>
      <w:r w:rsidR="003756C2">
        <w:t>GCAM-USA</w:t>
      </w:r>
      <w:r w:rsidR="0057446B">
        <w:t xml:space="preserve"> outputs </w:t>
      </w:r>
      <w:r w:rsidR="00533FF9">
        <w:t xml:space="preserve">are </w:t>
      </w:r>
      <w:r w:rsidR="003800CF">
        <w:t>produced</w:t>
      </w:r>
      <w:r w:rsidR="00533FF9">
        <w:t xml:space="preserve"> </w:t>
      </w:r>
      <w:r w:rsidR="0057446B">
        <w:t>with different O&amp;M cost assumptions</w:t>
      </w:r>
      <w:r w:rsidR="003756C2">
        <w:t>.</w:t>
      </w:r>
      <w:r w:rsidR="006E03C7">
        <w:t xml:space="preserve"> </w:t>
      </w:r>
    </w:p>
    <w:p w14:paraId="698405B5" w14:textId="70195E25" w:rsidR="009A64BC" w:rsidRPr="000269A6" w:rsidRDefault="009A64BC" w:rsidP="000269A6">
      <w:r w:rsidRPr="009A64BC">
        <w:rPr>
          <w:noProof/>
        </w:rPr>
        <w:drawing>
          <wp:inline distT="0" distB="0" distL="0" distR="0" wp14:anchorId="183DAEF3" wp14:editId="00BF9251">
            <wp:extent cx="4993419" cy="1122986"/>
            <wp:effectExtent l="0" t="0" r="0" b="1270"/>
            <wp:docPr id="106054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49329" name=""/>
                    <pic:cNvPicPr/>
                  </pic:nvPicPr>
                  <pic:blipFill>
                    <a:blip r:embed="rId16"/>
                    <a:stretch>
                      <a:fillRect/>
                    </a:stretch>
                  </pic:blipFill>
                  <pic:spPr>
                    <a:xfrm>
                      <a:off x="0" y="0"/>
                      <a:ext cx="5017984" cy="1128511"/>
                    </a:xfrm>
                    <a:prstGeom prst="rect">
                      <a:avLst/>
                    </a:prstGeom>
                  </pic:spPr>
                </pic:pic>
              </a:graphicData>
            </a:graphic>
          </wp:inline>
        </w:drawing>
      </w:r>
    </w:p>
    <w:p w14:paraId="048F7F95" w14:textId="1CCD8824" w:rsidR="00A1205D" w:rsidRDefault="007F4B97" w:rsidP="00DC440F">
      <w:pPr>
        <w:pStyle w:val="Heading2"/>
      </w:pPr>
      <w:bookmarkStart w:id="7" w:name="_Ref177376954"/>
      <w:bookmarkStart w:id="8" w:name="_Ref177376981"/>
      <w:bookmarkStart w:id="9" w:name="_Ref177376985"/>
      <w:bookmarkStart w:id="10" w:name="_Ref177376991"/>
      <w:bookmarkStart w:id="11" w:name="_Ref177377004"/>
      <w:bookmarkStart w:id="12" w:name="_Ref177377014"/>
      <w:bookmarkStart w:id="13" w:name="_Ref177377041"/>
      <w:bookmarkStart w:id="14" w:name="_Toc178345334"/>
      <w:r>
        <w:t>2.3 JEDI employment factor</w:t>
      </w:r>
      <w:bookmarkEnd w:id="7"/>
      <w:bookmarkEnd w:id="8"/>
      <w:bookmarkEnd w:id="9"/>
      <w:bookmarkEnd w:id="10"/>
      <w:bookmarkEnd w:id="11"/>
      <w:bookmarkEnd w:id="12"/>
      <w:bookmarkEnd w:id="13"/>
      <w:r w:rsidR="005B636F">
        <w:t>s</w:t>
      </w:r>
      <w:bookmarkEnd w:id="14"/>
    </w:p>
    <w:p w14:paraId="0892CA56" w14:textId="39418401" w:rsidR="0012643A" w:rsidRDefault="00000000" w:rsidP="00A1205D">
      <w:hyperlink r:id="rId17" w:tgtFrame="_new" w:history="1">
        <w:r w:rsidR="00CC2A27">
          <w:rPr>
            <w:rStyle w:val="Hyperlink"/>
          </w:rPr>
          <w:t>NREL JEDI Models</w:t>
        </w:r>
      </w:hyperlink>
      <w:r w:rsidR="00CC2A27">
        <w:t xml:space="preserve">, which we accessed on August 29, 2024, are used to </w:t>
      </w:r>
      <w:r w:rsidR="00617955">
        <w:t>calculate</w:t>
      </w:r>
      <w:r w:rsidR="00CC2A27">
        <w:t xml:space="preserve"> </w:t>
      </w:r>
      <w:r w:rsidR="00A1205D">
        <w:t xml:space="preserve">the </w:t>
      </w:r>
      <w:r w:rsidR="005264B3">
        <w:t xml:space="preserve">annual </w:t>
      </w:r>
      <w:r w:rsidR="00A1205D">
        <w:t>employment factor</w:t>
      </w:r>
      <w:r w:rsidR="00EF4487">
        <w:t xml:space="preserve"> (EF)</w:t>
      </w:r>
      <w:r w:rsidR="00A1205D">
        <w:t xml:space="preserve"> input for this package</w:t>
      </w:r>
      <w:r w:rsidR="001B1380">
        <w:t>, modified in some cases with other sources</w:t>
      </w:r>
      <w:r w:rsidR="00A1205D">
        <w:t>.</w:t>
      </w:r>
      <w:r w:rsidR="005E6C2D">
        <w:t xml:space="preserve"> </w:t>
      </w:r>
      <w:r w:rsidR="00EA3326">
        <w:t xml:space="preserve">The </w:t>
      </w:r>
      <w:r w:rsidR="0012643A">
        <w:t xml:space="preserve">JEDI model provides job outcomes for </w:t>
      </w:r>
      <w:r w:rsidR="00EA3326">
        <w:t>a specified</w:t>
      </w:r>
      <w:r w:rsidR="0012643A">
        <w:t xml:space="preserve"> </w:t>
      </w:r>
      <w:r w:rsidR="005B636F">
        <w:t xml:space="preserve">type of </w:t>
      </w:r>
      <w:r w:rsidR="0012643A">
        <w:t>projec</w:t>
      </w:r>
      <w:r w:rsidR="00EA3326">
        <w:t>t</w:t>
      </w:r>
      <w:r w:rsidR="0012643A">
        <w:t>, and we calculate the EF by dividing the job</w:t>
      </w:r>
      <w:r w:rsidR="005B636F">
        <w:t>s</w:t>
      </w:r>
      <w:r w:rsidR="0012643A">
        <w:t xml:space="preserve"> by project capacity.</w:t>
      </w:r>
      <w:r w:rsidR="00EA3326">
        <w:t xml:space="preserve"> </w:t>
      </w:r>
      <w:r w:rsidR="00E359B0">
        <w:t xml:space="preserve">Additional adjustments </w:t>
      </w:r>
      <w:r w:rsidR="00020EED">
        <w:t xml:space="preserve">for EF </w:t>
      </w:r>
      <w:r w:rsidR="00E359B0">
        <w:t xml:space="preserve">are summarized in </w:t>
      </w:r>
      <w:r w:rsidR="00E359B0" w:rsidRPr="009E3698">
        <w:rPr>
          <w:b/>
          <w:bCs/>
        </w:rPr>
        <w:fldChar w:fldCharType="begin"/>
      </w:r>
      <w:r w:rsidR="00E359B0" w:rsidRPr="009E3698">
        <w:rPr>
          <w:b/>
          <w:bCs/>
        </w:rPr>
        <w:instrText xml:space="preserve"> REF _Ref177378169 \h </w:instrText>
      </w:r>
      <w:r w:rsidR="009E3698">
        <w:rPr>
          <w:b/>
          <w:bCs/>
        </w:rPr>
        <w:instrText xml:space="preserve"> \* MERGEFORMAT </w:instrText>
      </w:r>
      <w:r w:rsidR="00E359B0" w:rsidRPr="009E3698">
        <w:rPr>
          <w:b/>
          <w:bCs/>
        </w:rPr>
      </w:r>
      <w:r w:rsidR="00E359B0" w:rsidRPr="009E3698">
        <w:rPr>
          <w:b/>
          <w:bCs/>
        </w:rPr>
        <w:fldChar w:fldCharType="separate"/>
      </w:r>
      <w:r w:rsidR="00E359B0" w:rsidRPr="009E3698">
        <w:rPr>
          <w:b/>
          <w:bCs/>
        </w:rPr>
        <w:t>3.4.1</w:t>
      </w:r>
      <w:r w:rsidR="00E359B0" w:rsidRPr="009E3698">
        <w:rPr>
          <w:b/>
          <w:bCs/>
        </w:rPr>
        <w:fldChar w:fldCharType="end"/>
      </w:r>
      <w:r w:rsidR="00E359B0" w:rsidRPr="009E3698">
        <w:rPr>
          <w:b/>
          <w:bCs/>
        </w:rPr>
        <w:t xml:space="preserve"> </w:t>
      </w:r>
      <w:r w:rsidR="00E359B0">
        <w:t xml:space="preserve">and </w:t>
      </w:r>
      <w:r w:rsidR="00E359B0" w:rsidRPr="009E3698">
        <w:rPr>
          <w:b/>
          <w:bCs/>
        </w:rPr>
        <w:fldChar w:fldCharType="begin"/>
      </w:r>
      <w:r w:rsidR="00E359B0" w:rsidRPr="009E3698">
        <w:rPr>
          <w:b/>
          <w:bCs/>
        </w:rPr>
        <w:instrText xml:space="preserve"> REF _Ref177565555 \h </w:instrText>
      </w:r>
      <w:r w:rsidR="009E3698">
        <w:rPr>
          <w:b/>
          <w:bCs/>
        </w:rPr>
        <w:instrText xml:space="preserve"> \* MERGEFORMAT </w:instrText>
      </w:r>
      <w:r w:rsidR="00E359B0" w:rsidRPr="009E3698">
        <w:rPr>
          <w:b/>
          <w:bCs/>
        </w:rPr>
      </w:r>
      <w:r w:rsidR="00E359B0" w:rsidRPr="009E3698">
        <w:rPr>
          <w:b/>
          <w:bCs/>
        </w:rPr>
        <w:fldChar w:fldCharType="separate"/>
      </w:r>
      <w:r w:rsidR="00E359B0" w:rsidRPr="009E3698">
        <w:rPr>
          <w:b/>
          <w:bCs/>
        </w:rPr>
        <w:t>3.4.2</w:t>
      </w:r>
      <w:r w:rsidR="00E359B0" w:rsidRPr="009E3698">
        <w:rPr>
          <w:b/>
          <w:bCs/>
        </w:rPr>
        <w:fldChar w:fldCharType="end"/>
      </w:r>
      <w:r w:rsidR="00E359B0">
        <w:t>.</w:t>
      </w:r>
    </w:p>
    <w:p w14:paraId="715DC214" w14:textId="58D1ED8B" w:rsidR="00A1205D" w:rsidRDefault="00FB45CD" w:rsidP="00A1205D">
      <w:r>
        <w:t>To extract JEDI outcomes across fuel types</w:t>
      </w:r>
      <w:r w:rsidR="00CE6569">
        <w:t xml:space="preserve"> and states</w:t>
      </w:r>
      <w:r>
        <w:t>, we developed Python scripts. This section outlines the workflow for obtaining the JEDI employment factor, starting with the prerequisites for running the JEDI model via Python, followed by detailed steps for running individual JEDI models by fuel type.</w:t>
      </w:r>
    </w:p>
    <w:p w14:paraId="58635BF7" w14:textId="36031F67" w:rsidR="004C1882" w:rsidRDefault="004C1882" w:rsidP="004C1882">
      <w:pPr>
        <w:pStyle w:val="Heading3"/>
      </w:pPr>
      <w:bookmarkStart w:id="15" w:name="_Toc178345335"/>
      <w:r>
        <w:t>2.</w:t>
      </w:r>
      <w:r w:rsidR="00525F95">
        <w:t>3</w:t>
      </w:r>
      <w:r>
        <w:t xml:space="preserve">.1 </w:t>
      </w:r>
      <w:r w:rsidR="00EF67C9">
        <w:t>P</w:t>
      </w:r>
      <w:r w:rsidR="00153942" w:rsidRPr="00153942">
        <w:t>rerequisite</w:t>
      </w:r>
      <w:bookmarkEnd w:id="15"/>
      <w:r w:rsidR="00153942" w:rsidRPr="00153942">
        <w:t xml:space="preserve"> </w:t>
      </w:r>
    </w:p>
    <w:p w14:paraId="2527F0C3" w14:textId="47455104" w:rsidR="004A6C2D" w:rsidRDefault="004A6C2D" w:rsidP="00A1205D">
      <w:r>
        <w:t xml:space="preserve">The JEDI model is Excel-based, and its macros are disabled by default for security reasons. To run the JEDI model through Python, macros must be enabled for each JEDI Excel file by </w:t>
      </w:r>
      <w:r w:rsidR="009C5619">
        <w:t xml:space="preserve">the </w:t>
      </w:r>
      <w:r>
        <w:t>following process:</w:t>
      </w:r>
    </w:p>
    <w:p w14:paraId="1A56D893" w14:textId="77777777" w:rsidR="00A1205D" w:rsidRDefault="00A1205D" w:rsidP="00A1205D">
      <w:r>
        <w:t xml:space="preserve">Excel file </w:t>
      </w:r>
      <w:r>
        <w:sym w:font="Wingdings" w:char="F0E0"/>
      </w:r>
      <w:r>
        <w:t xml:space="preserve"> Properties </w:t>
      </w:r>
      <w:r>
        <w:sym w:font="Wingdings" w:char="F0E0"/>
      </w:r>
      <w:r>
        <w:t xml:space="preserve"> General </w:t>
      </w:r>
      <w:r>
        <w:sym w:font="Wingdings" w:char="F0E0"/>
      </w:r>
      <w:r>
        <w:t xml:space="preserve"> check the “Unblock” for </w:t>
      </w:r>
      <w:r w:rsidRPr="006A6330">
        <w:rPr>
          <w:b/>
          <w:bCs/>
          <w:i/>
          <w:iCs/>
        </w:rPr>
        <w:t>Security</w:t>
      </w:r>
    </w:p>
    <w:p w14:paraId="2AB004EA" w14:textId="77777777" w:rsidR="00762CA5" w:rsidRDefault="00A1205D" w:rsidP="00762CA5">
      <w:r>
        <w:rPr>
          <w:noProof/>
        </w:rPr>
        <w:lastRenderedPageBreak/>
        <mc:AlternateContent>
          <mc:Choice Requires="wps">
            <w:drawing>
              <wp:anchor distT="0" distB="0" distL="114300" distR="114300" simplePos="0" relativeHeight="251659264" behindDoc="0" locked="0" layoutInCell="1" allowOverlap="1" wp14:anchorId="30CABF55" wp14:editId="1BD1833D">
                <wp:simplePos x="0" y="0"/>
                <wp:positionH relativeFrom="column">
                  <wp:posOffset>416560</wp:posOffset>
                </wp:positionH>
                <wp:positionV relativeFrom="paragraph">
                  <wp:posOffset>1841071</wp:posOffset>
                </wp:positionV>
                <wp:extent cx="1125769" cy="225154"/>
                <wp:effectExtent l="0" t="0" r="17780" b="22860"/>
                <wp:wrapNone/>
                <wp:docPr id="2" name="Rectangle 2"/>
                <wp:cNvGraphicFramePr/>
                <a:graphic xmlns:a="http://schemas.openxmlformats.org/drawingml/2006/main">
                  <a:graphicData uri="http://schemas.microsoft.com/office/word/2010/wordprocessingShape">
                    <wps:wsp>
                      <wps:cNvSpPr/>
                      <wps:spPr>
                        <a:xfrm>
                          <a:off x="0" y="0"/>
                          <a:ext cx="1125769" cy="22515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DA5937" id="Rectangle 2" o:spid="_x0000_s1026" style="position:absolute;margin-left:32.8pt;margin-top:144.95pt;width:88.65pt;height:1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" filled="f" strokecolor="red" strokeweight="1pt"/>
            </w:pict>
          </mc:Fallback>
        </mc:AlternateContent>
      </w:r>
      <w:r w:rsidRPr="0069626D">
        <w:rPr>
          <w:noProof/>
        </w:rPr>
        <w:drawing>
          <wp:inline distT="0" distB="0" distL="0" distR="0" wp14:anchorId="3BAEFEC3" wp14:editId="61E284A4">
            <wp:extent cx="1696661" cy="236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2034" cy="2369862"/>
                    </a:xfrm>
                    <a:prstGeom prst="rect">
                      <a:avLst/>
                    </a:prstGeom>
                  </pic:spPr>
                </pic:pic>
              </a:graphicData>
            </a:graphic>
          </wp:inline>
        </w:drawing>
      </w:r>
    </w:p>
    <w:p w14:paraId="69056262" w14:textId="07125D73" w:rsidR="00BA6F94" w:rsidRDefault="00C4754A" w:rsidP="00B7088A">
      <w:r w:rsidRPr="00C4754A">
        <w:t>While the specific Python scripts for running each JEDI model may vary (see</w:t>
      </w:r>
      <w:r w:rsidR="00DA61F5">
        <w:t xml:space="preserve"> </w:t>
      </w:r>
      <w:r w:rsidR="00DA61F5" w:rsidRPr="00226CED">
        <w:rPr>
          <w:b/>
          <w:bCs/>
        </w:rPr>
        <w:fldChar w:fldCharType="begin"/>
      </w:r>
      <w:r w:rsidR="00DA61F5" w:rsidRPr="00226CED">
        <w:rPr>
          <w:b/>
          <w:bCs/>
        </w:rPr>
        <w:instrText xml:space="preserve"> REF _Ref177546813 \h </w:instrText>
      </w:r>
      <w:r w:rsidR="00226CED">
        <w:rPr>
          <w:b/>
          <w:bCs/>
        </w:rPr>
        <w:instrText xml:space="preserve"> \* MERGEFORMAT </w:instrText>
      </w:r>
      <w:r w:rsidR="00DA61F5" w:rsidRPr="00226CED">
        <w:rPr>
          <w:b/>
          <w:bCs/>
        </w:rPr>
      </w:r>
      <w:r w:rsidR="00DA61F5" w:rsidRPr="00226CED">
        <w:rPr>
          <w:b/>
          <w:bCs/>
        </w:rPr>
        <w:fldChar w:fldCharType="separate"/>
      </w:r>
      <w:r w:rsidR="00DA61F5" w:rsidRPr="00226CED">
        <w:rPr>
          <w:b/>
          <w:bCs/>
        </w:rPr>
        <w:t>2.3.1</w:t>
      </w:r>
      <w:r w:rsidR="00DA61F5" w:rsidRPr="00226CED">
        <w:rPr>
          <w:b/>
          <w:bCs/>
        </w:rPr>
        <w:fldChar w:fldCharType="end"/>
      </w:r>
      <w:r w:rsidR="00DA61F5">
        <w:t xml:space="preserve"> to </w:t>
      </w:r>
      <w:r w:rsidR="00DA61F5" w:rsidRPr="00226CED">
        <w:rPr>
          <w:b/>
          <w:bCs/>
        </w:rPr>
        <w:fldChar w:fldCharType="begin"/>
      </w:r>
      <w:r w:rsidR="00DA61F5" w:rsidRPr="00226CED">
        <w:rPr>
          <w:b/>
          <w:bCs/>
        </w:rPr>
        <w:instrText xml:space="preserve"> REF _Ref177546820 \h </w:instrText>
      </w:r>
      <w:r w:rsidR="00226CED">
        <w:rPr>
          <w:b/>
          <w:bCs/>
        </w:rPr>
        <w:instrText xml:space="preserve"> \* MERGEFORMAT </w:instrText>
      </w:r>
      <w:r w:rsidR="00DA61F5" w:rsidRPr="00226CED">
        <w:rPr>
          <w:b/>
          <w:bCs/>
        </w:rPr>
      </w:r>
      <w:r w:rsidR="00DA61F5" w:rsidRPr="00226CED">
        <w:rPr>
          <w:b/>
          <w:bCs/>
        </w:rPr>
        <w:fldChar w:fldCharType="separate"/>
      </w:r>
      <w:r w:rsidR="00DA61F5" w:rsidRPr="00226CED">
        <w:rPr>
          <w:b/>
          <w:bCs/>
        </w:rPr>
        <w:t>2.3.9</w:t>
      </w:r>
      <w:r w:rsidR="00DA61F5" w:rsidRPr="00226CED">
        <w:rPr>
          <w:b/>
          <w:bCs/>
        </w:rPr>
        <w:fldChar w:fldCharType="end"/>
      </w:r>
      <w:r w:rsidRPr="00C4754A">
        <w:t>), they follow a common structure</w:t>
      </w:r>
      <w:r w:rsidR="004B7BB0">
        <w:t xml:space="preserve">: </w:t>
      </w:r>
    </w:p>
    <w:p w14:paraId="71D923C3" w14:textId="33EC0D77" w:rsidR="004B7BB0" w:rsidRDefault="004B7BB0" w:rsidP="004B7BB0">
      <w:r>
        <w:t xml:space="preserve">Import library </w:t>
      </w:r>
      <w:r>
        <w:sym w:font="Wingdings" w:char="F0E0"/>
      </w:r>
      <w:r>
        <w:t xml:space="preserve"> specify JEDI model file </w:t>
      </w:r>
      <w:r>
        <w:sym w:font="Wingdings" w:char="F0E0"/>
      </w:r>
      <w:r>
        <w:t xml:space="preserve"> update </w:t>
      </w:r>
      <w:r w:rsidR="006F055F">
        <w:t>“</w:t>
      </w:r>
      <w:r>
        <w:t>project data sheet</w:t>
      </w:r>
      <w:r w:rsidR="006F055F">
        <w:t>”</w:t>
      </w:r>
      <w:r>
        <w:t xml:space="preserve"> </w:t>
      </w:r>
      <w:r>
        <w:sym w:font="Wingdings" w:char="F0E0"/>
      </w:r>
      <w:r>
        <w:t xml:space="preserve"> update </w:t>
      </w:r>
      <w:r w:rsidR="006F055F">
        <w:t>“</w:t>
      </w:r>
      <w:r>
        <w:t>local share</w:t>
      </w:r>
      <w:r w:rsidR="006F055F">
        <w:t>”</w:t>
      </w:r>
      <w:r>
        <w:t xml:space="preserve"> </w:t>
      </w:r>
      <w:r>
        <w:sym w:font="Wingdings" w:char="F0E0"/>
      </w:r>
    </w:p>
    <w:p w14:paraId="323DE2C8" w14:textId="7C1157FE" w:rsidR="004B7BB0" w:rsidRDefault="004B7BB0" w:rsidP="004B7BB0">
      <w:r>
        <w:t xml:space="preserve">specify macro for job results </w:t>
      </w:r>
      <w:r>
        <w:sym w:font="Wingdings" w:char="F0E0"/>
      </w:r>
      <w:r>
        <w:t xml:space="preserve"> data collection </w:t>
      </w:r>
      <w:r>
        <w:sym w:font="Wingdings" w:char="F0E0"/>
      </w:r>
      <w:r>
        <w:t xml:space="preserve"> save </w:t>
      </w:r>
      <w:r w:rsidR="00B867A5">
        <w:t xml:space="preserve">the </w:t>
      </w:r>
      <w:r>
        <w:t>data</w:t>
      </w:r>
    </w:p>
    <w:p w14:paraId="085C715E" w14:textId="10DDC1BC" w:rsidR="006F5B0E" w:rsidRDefault="006F055F" w:rsidP="00A1205D">
      <w:r>
        <w:t xml:space="preserve">where the “project data sheet” specifies the characteristics of the power plant, and “local share” </w:t>
      </w:r>
      <w:r w:rsidR="006F5B0E">
        <w:t>indicates the proportion of economic activities related to power production occurring within the region, ranging from 0% to 100%.</w:t>
      </w:r>
    </w:p>
    <w:p w14:paraId="2EB0CDC1" w14:textId="0B7547EB" w:rsidR="009F63EE" w:rsidRDefault="007F4B97" w:rsidP="00BD2531">
      <w:pPr>
        <w:pStyle w:val="Heading3"/>
      </w:pPr>
      <w:bookmarkStart w:id="16" w:name="_Ref177546813"/>
      <w:bookmarkStart w:id="17" w:name="_Toc178345336"/>
      <w:r>
        <w:t>2.3.1 Biomass and biomass-CCS</w:t>
      </w:r>
      <w:bookmarkEnd w:id="16"/>
      <w:bookmarkEnd w:id="17"/>
    </w:p>
    <w:p w14:paraId="591AE033" w14:textId="4CD0B7D5" w:rsidR="005C77B2" w:rsidRPr="005923FA" w:rsidRDefault="00644E13" w:rsidP="005C77B2">
      <w:pPr>
        <w:rPr>
          <w:color w:val="FF0000"/>
        </w:rPr>
      </w:pPr>
      <w:r w:rsidRPr="006B5A76">
        <w:rPr>
          <w:rStyle w:val="SubtleEmphasis"/>
          <w:i w:val="0"/>
          <w:iCs w:val="0"/>
        </w:rPr>
        <w:t xml:space="preserve">For </w:t>
      </w:r>
      <w:r w:rsidR="00DF078D" w:rsidRPr="00DF078D">
        <w:rPr>
          <w:rStyle w:val="SubtleEmphasis"/>
          <w:b/>
          <w:bCs/>
          <w:i w:val="0"/>
          <w:iCs w:val="0"/>
        </w:rPr>
        <w:t>biomass</w:t>
      </w:r>
      <w:r w:rsidRPr="006B5A76">
        <w:rPr>
          <w:rStyle w:val="SubtleEmphasis"/>
          <w:i w:val="0"/>
          <w:iCs w:val="0"/>
        </w:rPr>
        <w:t xml:space="preserve"> fuel type</w:t>
      </w:r>
      <w:r w:rsidR="00192096">
        <w:rPr>
          <w:rStyle w:val="SubtleEmphasis"/>
          <w:i w:val="0"/>
          <w:iCs w:val="0"/>
        </w:rPr>
        <w:t xml:space="preserve"> in GCAM</w:t>
      </w:r>
      <w:r w:rsidRPr="006B5A76">
        <w:rPr>
          <w:rStyle w:val="SubtleEmphasis"/>
          <w:i w:val="0"/>
          <w:iCs w:val="0"/>
        </w:rPr>
        <w:t xml:space="preserve">, we use the JEDI’s </w:t>
      </w:r>
      <w:r w:rsidR="005C77B2" w:rsidRPr="00494F31">
        <w:rPr>
          <w:rStyle w:val="SubtleEmphasis"/>
          <w:b/>
          <w:bCs/>
          <w:i w:val="0"/>
          <w:iCs w:val="0"/>
        </w:rPr>
        <w:t>Biopower</w:t>
      </w:r>
      <w:r w:rsidRPr="006B5A76">
        <w:rPr>
          <w:rStyle w:val="SubtleEmphasis"/>
          <w:i w:val="0"/>
          <w:iCs w:val="0"/>
        </w:rPr>
        <w:t xml:space="preserve"> model (</w:t>
      </w:r>
      <w:r w:rsidRPr="001B7B88">
        <w:rPr>
          <w:b/>
          <w:bCs/>
          <w:i/>
          <w:iCs/>
          <w:color w:val="4472C4" w:themeColor="accent1"/>
        </w:rPr>
        <w:t>01d-jedi-biopower-model-rel-b12-23-16.xlsm</w:t>
      </w:r>
      <w:r w:rsidRPr="006B5A76">
        <w:rPr>
          <w:rStyle w:val="SubtleEmphasis"/>
          <w:i w:val="0"/>
          <w:iCs w:val="0"/>
        </w:rPr>
        <w:t>)</w:t>
      </w:r>
      <w:r w:rsidR="00693B57">
        <w:rPr>
          <w:rStyle w:val="SubtleEmphasis"/>
          <w:i w:val="0"/>
          <w:iCs w:val="0"/>
        </w:rPr>
        <w:t xml:space="preserve">, and the associated Python </w:t>
      </w:r>
      <w:r w:rsidR="00C2320E">
        <w:rPr>
          <w:rStyle w:val="SubtleEmphasis"/>
          <w:i w:val="0"/>
          <w:iCs w:val="0"/>
        </w:rPr>
        <w:t>script</w:t>
      </w:r>
      <w:r w:rsidR="00693B57">
        <w:rPr>
          <w:rStyle w:val="SubtleEmphasis"/>
          <w:i w:val="0"/>
          <w:iCs w:val="0"/>
        </w:rPr>
        <w:t xml:space="preserve"> is </w:t>
      </w:r>
      <w:r w:rsidR="00693B57" w:rsidRPr="001B7B88">
        <w:rPr>
          <w:rStyle w:val="SubtleEmphasis"/>
          <w:b/>
          <w:bCs/>
          <w:color w:val="4472C4" w:themeColor="accent1"/>
        </w:rPr>
        <w:t>jedi_biopower</w:t>
      </w:r>
      <w:r w:rsidR="00693B57" w:rsidRPr="001B7B88">
        <w:rPr>
          <w:b/>
          <w:bCs/>
          <w:i/>
          <w:iCs/>
          <w:color w:val="4472C4" w:themeColor="accent1"/>
        </w:rPr>
        <w:t>.ipynb</w:t>
      </w:r>
      <w:r w:rsidR="00693B57">
        <w:rPr>
          <w:rStyle w:val="SubtleEmphasis"/>
          <w:i w:val="0"/>
          <w:iCs w:val="0"/>
        </w:rPr>
        <w:t>.</w:t>
      </w:r>
      <w:r w:rsidR="00191334">
        <w:rPr>
          <w:rStyle w:val="SubtleEmphasis"/>
          <w:i w:val="0"/>
          <w:iCs w:val="0"/>
        </w:rPr>
        <w:t xml:space="preserve"> Output is saved in </w:t>
      </w:r>
      <w:r w:rsidR="005C77B2" w:rsidRPr="001B7B88">
        <w:rPr>
          <w:b/>
          <w:bCs/>
          <w:i/>
          <w:iCs/>
          <w:color w:val="4472C4" w:themeColor="accent1"/>
        </w:rPr>
        <w:t>EF/JEDI_bioenergy.csv</w:t>
      </w:r>
      <w:r w:rsidR="007C4D41">
        <w:rPr>
          <w:rStyle w:val="SubtleEmphasis"/>
          <w:i w:val="0"/>
          <w:iCs w:val="0"/>
        </w:rPr>
        <w:t>.</w:t>
      </w:r>
    </w:p>
    <w:p w14:paraId="34FA47F3" w14:textId="339D67FB" w:rsidR="00244977" w:rsidRPr="00F65B44" w:rsidRDefault="00150EF8" w:rsidP="009F63EE">
      <w:pPr>
        <w:rPr>
          <w:color w:val="FF0000"/>
        </w:rPr>
      </w:pPr>
      <w:r>
        <w:rPr>
          <w:rStyle w:val="SubtleEmphasis"/>
          <w:i w:val="0"/>
          <w:iCs w:val="0"/>
        </w:rPr>
        <w:t xml:space="preserve">We modify the </w:t>
      </w:r>
      <w:r w:rsidRPr="006B5A76">
        <w:rPr>
          <w:rStyle w:val="SubtleEmphasis"/>
          <w:i w:val="0"/>
          <w:iCs w:val="0"/>
        </w:rPr>
        <w:t>JEDI’s Biopower model</w:t>
      </w:r>
      <w:r>
        <w:rPr>
          <w:rStyle w:val="SubtleEmphasis"/>
          <w:i w:val="0"/>
          <w:iCs w:val="0"/>
        </w:rPr>
        <w:t xml:space="preserve"> following</w:t>
      </w:r>
      <w:r w:rsidR="001C7A12">
        <w:rPr>
          <w:rStyle w:val="SubtleEmphasis"/>
          <w:i w:val="0"/>
          <w:iCs w:val="0"/>
        </w:rPr>
        <w:t xml:space="preserve"> </w:t>
      </w:r>
      <w:r w:rsidR="001B1380">
        <w:rPr>
          <w:rStyle w:val="SubtleEmphasis"/>
          <w:i w:val="0"/>
          <w:iCs w:val="0"/>
        </w:rPr>
        <w:t xml:space="preserve">Tables </w:t>
      </w:r>
      <w:r w:rsidR="00F2230C">
        <w:t xml:space="preserve">S15, S16, and S17 from </w:t>
      </w:r>
      <w:r w:rsidR="001C7A12">
        <w:rPr>
          <w:rStyle w:val="SubtleEmphasis"/>
          <w:i w:val="0"/>
          <w:iCs w:val="0"/>
        </w:rPr>
        <w:t>Xie et al. (2023)</w:t>
      </w:r>
      <w:r>
        <w:rPr>
          <w:rStyle w:val="SubtleEmphasis"/>
          <w:i w:val="0"/>
          <w:iCs w:val="0"/>
        </w:rPr>
        <w:fldChar w:fldCharType="begin"/>
      </w:r>
      <w:r>
        <w:rPr>
          <w:rStyle w:val="SubtleEmphasis"/>
          <w:i w:val="0"/>
          <w:iCs w:val="0"/>
        </w:rPr>
        <w:instrText xml:space="preserve"> ADDIN ZOTERO_ITEM CSL_CITATION {"citationID":"41PFKVyL","properties":{"formattedCitation":"\\super 3\\nosupersub{}","plainCitation":"3","noteIndex":0},"citationItems":[{"id":6612,"uris":["http://zotero.org/users/9896081/items/JRZFD5VH"],"itemData":{"id":6612,"type":"article-journal","abstract":"The transition towards a low-carbon power system presents challenges and opportunities for the workforce with important implications for just transitions. Studies of these distributional labour impacts could benefit from tighter linkages between energy and employment modelling. Here, we couple a power-sector optimization model, an employment impact model and demographic databases to understand state-level job characteristics and the societal implications of low-carbon transitions in the US. Although decarbonization brings consistent job growth, it heightens the need for investment in human capital and supply chain restructuring. Major fossil fuel-producing states need to prepare for fewer mining jobs under the US Long-Term Strategy, so other opportunities should be created or seized. The lowest-skilled workers will experience more uncertain employment outcomes. Expanding renewable energy could improve opportunities for women in fossil fuel-dependent states, but not enough to disrupt the national gender status quo. This work provides a new quantitative perspective to inform proactive just transition policies.","container-title":"Nature Climate Change","DOI":"10.1038/s41558-023-01802-5","ISSN":"1758-6798","issue":"11","journalAbbreviation":"Nat. Clim. Chang.","language":"en","license":"2023 The Author(s)","note":"publisher: Nature Publishing Group","page":"1203-1212","source":"www.nature.com","title":"Distributional labour challenges and opportunities for decarbonizing the US power system","volume":"13","author":[{"family":"Xie","given":"Judy Jingwei"},{"family":"Martin","given":"Melissa"},{"family":"Rogelj","given":"Joeri"},{"family":"Staffell","given":"Iain"}],"issued":{"date-parts":[["2023",11]]}}}],"schema":"https://github.com/citation-style-language/schema/raw/master/csl-citation.json"} </w:instrText>
      </w:r>
      <w:r>
        <w:rPr>
          <w:rStyle w:val="SubtleEmphasis"/>
          <w:i w:val="0"/>
          <w:iCs w:val="0"/>
        </w:rPr>
        <w:fldChar w:fldCharType="separate"/>
      </w:r>
      <w:r w:rsidRPr="00150EF8">
        <w:rPr>
          <w:rFonts w:ascii="Calibri" w:hAnsi="Calibri" w:cs="Calibri"/>
          <w:szCs w:val="24"/>
          <w:vertAlign w:val="superscript"/>
        </w:rPr>
        <w:t>3</w:t>
      </w:r>
      <w:r>
        <w:rPr>
          <w:rStyle w:val="SubtleEmphasis"/>
          <w:i w:val="0"/>
          <w:iCs w:val="0"/>
        </w:rPr>
        <w:fldChar w:fldCharType="end"/>
      </w:r>
      <w:r>
        <w:rPr>
          <w:rStyle w:val="SubtleEmphasis"/>
          <w:i w:val="0"/>
          <w:iCs w:val="0"/>
        </w:rPr>
        <w:t xml:space="preserve"> </w:t>
      </w:r>
      <w:r>
        <w:t>for</w:t>
      </w:r>
      <w:r w:rsidR="006C6895">
        <w:t xml:space="preserve"> the</w:t>
      </w:r>
      <w:r>
        <w:t xml:space="preserve"> </w:t>
      </w:r>
      <w:r w:rsidRPr="00DB4DA9">
        <w:rPr>
          <w:b/>
          <w:bCs/>
        </w:rPr>
        <w:t>biomass-CCS</w:t>
      </w:r>
      <w:r w:rsidRPr="00DB4DA9">
        <w:rPr>
          <w:i/>
          <w:iCs/>
        </w:rPr>
        <w:t xml:space="preserve"> </w:t>
      </w:r>
      <w:r w:rsidRPr="006B5A76">
        <w:rPr>
          <w:rStyle w:val="SubtleEmphasis"/>
          <w:i w:val="0"/>
          <w:iCs w:val="0"/>
        </w:rPr>
        <w:t>fuel type</w:t>
      </w:r>
      <w:r>
        <w:rPr>
          <w:rStyle w:val="SubtleEmphasis"/>
          <w:i w:val="0"/>
          <w:iCs w:val="0"/>
        </w:rPr>
        <w:t xml:space="preserve"> in GCAM</w:t>
      </w:r>
      <w:r w:rsidR="00F57807">
        <w:rPr>
          <w:rStyle w:val="SubtleEmphasis"/>
          <w:i w:val="0"/>
          <w:iCs w:val="0"/>
        </w:rPr>
        <w:t xml:space="preserve"> (</w:t>
      </w:r>
      <w:r w:rsidR="009600D5" w:rsidRPr="001B7B88">
        <w:rPr>
          <w:b/>
          <w:bCs/>
          <w:i/>
          <w:iCs/>
          <w:color w:val="4472C4" w:themeColor="accent1"/>
        </w:rPr>
        <w:t>01d-jedi-biopower-CCS-Xie.xlsm</w:t>
      </w:r>
      <w:r w:rsidR="00F57807">
        <w:rPr>
          <w:rStyle w:val="SubtleEmphasis"/>
          <w:i w:val="0"/>
          <w:iCs w:val="0"/>
        </w:rPr>
        <w:t>)</w:t>
      </w:r>
      <w:r w:rsidR="005A2631">
        <w:rPr>
          <w:rStyle w:val="SubtleEmphasis"/>
          <w:i w:val="0"/>
          <w:iCs w:val="0"/>
        </w:rPr>
        <w:t xml:space="preserve">, and run it with </w:t>
      </w:r>
      <w:r w:rsidR="005A2631" w:rsidRPr="001B7B88">
        <w:rPr>
          <w:rStyle w:val="SubtleEmphasis"/>
          <w:b/>
          <w:bCs/>
          <w:color w:val="4472C4" w:themeColor="accent1"/>
        </w:rPr>
        <w:t>jedi_biopower_CCS</w:t>
      </w:r>
      <w:r w:rsidR="005A2631" w:rsidRPr="001B7B88">
        <w:rPr>
          <w:b/>
          <w:bCs/>
          <w:i/>
          <w:iCs/>
          <w:color w:val="4472C4" w:themeColor="accent1"/>
        </w:rPr>
        <w:t>.ipynb</w:t>
      </w:r>
      <w:r w:rsidR="00ED4D6E">
        <w:rPr>
          <w:rStyle w:val="SubtleEmphasis"/>
          <w:i w:val="0"/>
          <w:iCs w:val="0"/>
        </w:rPr>
        <w:t xml:space="preserve">. </w:t>
      </w:r>
      <w:r w:rsidR="00CC089F">
        <w:t xml:space="preserve">Note that in Table S17, </w:t>
      </w:r>
      <w:r w:rsidR="008C5D38">
        <w:t>per</w:t>
      </w:r>
      <w:r w:rsidR="00CC089F">
        <w:t xml:space="preserve"> kW cost modification</w:t>
      </w:r>
      <w:r w:rsidR="00A2679E">
        <w:t>s</w:t>
      </w:r>
      <w:r w:rsidR="00CC089F">
        <w:t xml:space="preserve"> in JEDI </w:t>
      </w:r>
      <w:r w:rsidR="00A2679E">
        <w:t>are implemented by adjusting the total cost/project size, as the per kW cells in JEDI are locked and cannot be modified directly.</w:t>
      </w:r>
      <w:r w:rsidR="007D2DDB">
        <w:t xml:space="preserve"> </w:t>
      </w:r>
      <w:r w:rsidR="00F00F30">
        <w:t xml:space="preserve">Output is </w:t>
      </w:r>
      <w:r w:rsidR="00F00F30" w:rsidRPr="001B7B88">
        <w:rPr>
          <w:b/>
          <w:bCs/>
          <w:i/>
          <w:iCs/>
          <w:color w:val="4472C4" w:themeColor="accent1"/>
        </w:rPr>
        <w:t>EF/JEDI_bioenergy_CCS.csv</w:t>
      </w:r>
      <w:r w:rsidR="00F00F30">
        <w:rPr>
          <w:rStyle w:val="SubtleEmphasis"/>
          <w:i w:val="0"/>
          <w:iCs w:val="0"/>
        </w:rPr>
        <w:t>.</w:t>
      </w:r>
    </w:p>
    <w:p w14:paraId="7AFA9358" w14:textId="35B38B7A" w:rsidR="007F4B97" w:rsidRDefault="007F4B97" w:rsidP="00ED7E60">
      <w:pPr>
        <w:pStyle w:val="Heading3"/>
      </w:pPr>
      <w:bookmarkStart w:id="18" w:name="_Toc178345337"/>
      <w:r>
        <w:t>2.3.2 Coal and coal-CCS</w:t>
      </w:r>
      <w:bookmarkEnd w:id="18"/>
    </w:p>
    <w:p w14:paraId="591A291F" w14:textId="69B0D3F1" w:rsidR="002042A9" w:rsidRDefault="004265C8" w:rsidP="008F0E6C">
      <w:pPr>
        <w:rPr>
          <w:color w:val="FF0000"/>
        </w:rPr>
      </w:pPr>
      <w:r w:rsidRPr="006B5A76">
        <w:rPr>
          <w:rStyle w:val="SubtleEmphasis"/>
          <w:i w:val="0"/>
          <w:iCs w:val="0"/>
        </w:rPr>
        <w:t xml:space="preserve">For </w:t>
      </w:r>
      <w:r w:rsidR="0084043E">
        <w:rPr>
          <w:rStyle w:val="SubtleEmphasis"/>
          <w:b/>
          <w:bCs/>
          <w:i w:val="0"/>
          <w:iCs w:val="0"/>
        </w:rPr>
        <w:t>coal</w:t>
      </w:r>
      <w:r w:rsidRPr="006B5A76">
        <w:rPr>
          <w:rStyle w:val="SubtleEmphasis"/>
          <w:i w:val="0"/>
          <w:iCs w:val="0"/>
        </w:rPr>
        <w:t xml:space="preserve"> fuel type</w:t>
      </w:r>
      <w:r>
        <w:rPr>
          <w:rStyle w:val="SubtleEmphasis"/>
          <w:i w:val="0"/>
          <w:iCs w:val="0"/>
        </w:rPr>
        <w:t xml:space="preserve"> in GCAM</w:t>
      </w:r>
      <w:r w:rsidRPr="006B5A76">
        <w:rPr>
          <w:rStyle w:val="SubtleEmphasis"/>
          <w:i w:val="0"/>
          <w:iCs w:val="0"/>
        </w:rPr>
        <w:t xml:space="preserve">, we </w:t>
      </w:r>
      <w:r w:rsidR="00B5445A">
        <w:rPr>
          <w:rStyle w:val="SubtleEmphasis"/>
          <w:i w:val="0"/>
          <w:iCs w:val="0"/>
        </w:rPr>
        <w:t>run</w:t>
      </w:r>
      <w:r w:rsidRPr="006B5A76">
        <w:rPr>
          <w:rStyle w:val="SubtleEmphasis"/>
          <w:i w:val="0"/>
          <w:iCs w:val="0"/>
        </w:rPr>
        <w:t xml:space="preserve"> JEDI’s </w:t>
      </w:r>
      <w:r w:rsidR="008E2AE5" w:rsidRPr="00494F31">
        <w:rPr>
          <w:rStyle w:val="SubtleEmphasis"/>
          <w:b/>
          <w:bCs/>
          <w:i w:val="0"/>
          <w:iCs w:val="0"/>
        </w:rPr>
        <w:t>Coal</w:t>
      </w:r>
      <w:r w:rsidRPr="006B5A76">
        <w:rPr>
          <w:rStyle w:val="SubtleEmphasis"/>
          <w:i w:val="0"/>
          <w:iCs w:val="0"/>
        </w:rPr>
        <w:t xml:space="preserve"> model (</w:t>
      </w:r>
      <w:r w:rsidR="002F5C1E" w:rsidRPr="001B7B88">
        <w:rPr>
          <w:b/>
          <w:bCs/>
          <w:i/>
          <w:iCs/>
          <w:color w:val="4472C4" w:themeColor="accent1"/>
        </w:rPr>
        <w:t>01d-jedi-coal-model-rel-c12-23-16.xlsm</w:t>
      </w:r>
      <w:r w:rsidRPr="006B5A76">
        <w:rPr>
          <w:rStyle w:val="SubtleEmphasis"/>
          <w:i w:val="0"/>
          <w:iCs w:val="0"/>
        </w:rPr>
        <w:t>)</w:t>
      </w:r>
      <w:r>
        <w:rPr>
          <w:rStyle w:val="SubtleEmphasis"/>
          <w:i w:val="0"/>
          <w:iCs w:val="0"/>
        </w:rPr>
        <w:t xml:space="preserve">, </w:t>
      </w:r>
      <w:r w:rsidR="00B5445A">
        <w:rPr>
          <w:rStyle w:val="SubtleEmphasis"/>
          <w:i w:val="0"/>
          <w:iCs w:val="0"/>
        </w:rPr>
        <w:t>via</w:t>
      </w:r>
      <w:r>
        <w:rPr>
          <w:rStyle w:val="SubtleEmphasis"/>
          <w:i w:val="0"/>
          <w:iCs w:val="0"/>
        </w:rPr>
        <w:t xml:space="preserve"> Python </w:t>
      </w:r>
      <w:r w:rsidR="00E441E5">
        <w:rPr>
          <w:rStyle w:val="SubtleEmphasis"/>
          <w:i w:val="0"/>
          <w:iCs w:val="0"/>
        </w:rPr>
        <w:t>script</w:t>
      </w:r>
      <w:r>
        <w:rPr>
          <w:rStyle w:val="SubtleEmphasis"/>
          <w:i w:val="0"/>
          <w:iCs w:val="0"/>
        </w:rPr>
        <w:t xml:space="preserve"> </w:t>
      </w:r>
      <w:r w:rsidRPr="001B7B88">
        <w:rPr>
          <w:rStyle w:val="SubtleEmphasis"/>
          <w:b/>
          <w:bCs/>
          <w:color w:val="4472C4" w:themeColor="accent1"/>
        </w:rPr>
        <w:t>jedi_</w:t>
      </w:r>
      <w:r w:rsidR="005D50BB" w:rsidRPr="001B7B88">
        <w:rPr>
          <w:rStyle w:val="SubtleEmphasis"/>
          <w:b/>
          <w:bCs/>
          <w:color w:val="4472C4" w:themeColor="accent1"/>
        </w:rPr>
        <w:t>coal</w:t>
      </w:r>
      <w:r w:rsidRPr="001B7B88">
        <w:rPr>
          <w:b/>
          <w:bCs/>
          <w:i/>
          <w:iCs/>
          <w:color w:val="4472C4" w:themeColor="accent1"/>
        </w:rPr>
        <w:t>.ipynb</w:t>
      </w:r>
      <w:r w:rsidR="00B5445A">
        <w:rPr>
          <w:rStyle w:val="SubtleEmphasis"/>
          <w:i w:val="0"/>
          <w:iCs w:val="0"/>
        </w:rPr>
        <w:t>, and produce outputs</w:t>
      </w:r>
      <w:r>
        <w:rPr>
          <w:rStyle w:val="SubtleEmphasis"/>
          <w:i w:val="0"/>
          <w:iCs w:val="0"/>
        </w:rPr>
        <w:t xml:space="preserve"> </w:t>
      </w:r>
      <w:r w:rsidRPr="001B7B88">
        <w:rPr>
          <w:b/>
          <w:bCs/>
          <w:i/>
          <w:iCs/>
          <w:color w:val="4472C4" w:themeColor="accent1"/>
        </w:rPr>
        <w:t>EF/JEDI_</w:t>
      </w:r>
      <w:r w:rsidR="003E13C8" w:rsidRPr="001B7B88">
        <w:rPr>
          <w:b/>
          <w:bCs/>
          <w:i/>
          <w:iCs/>
          <w:color w:val="4472C4" w:themeColor="accent1"/>
        </w:rPr>
        <w:t>coal</w:t>
      </w:r>
      <w:r w:rsidRPr="001B7B88">
        <w:rPr>
          <w:b/>
          <w:bCs/>
          <w:i/>
          <w:iCs/>
          <w:color w:val="4472C4" w:themeColor="accent1"/>
        </w:rPr>
        <w:t>.csv</w:t>
      </w:r>
      <w:r>
        <w:rPr>
          <w:rStyle w:val="SubtleEmphasis"/>
          <w:i w:val="0"/>
          <w:iCs w:val="0"/>
        </w:rPr>
        <w:t>.</w:t>
      </w:r>
    </w:p>
    <w:p w14:paraId="2BE65803" w14:textId="45551A8D" w:rsidR="00FD0CAC" w:rsidRPr="00C84A9D" w:rsidRDefault="002220CE" w:rsidP="000514BE">
      <w:pPr>
        <w:rPr>
          <w:color w:val="FF0000"/>
        </w:rPr>
      </w:pPr>
      <w:r>
        <w:t>The</w:t>
      </w:r>
      <w:r w:rsidR="000514BE" w:rsidRPr="000514BE">
        <w:t xml:space="preserve"> </w:t>
      </w:r>
      <w:r w:rsidR="006E0DF0" w:rsidRPr="008028E5">
        <w:rPr>
          <w:b/>
          <w:bCs/>
        </w:rPr>
        <w:t>c</w:t>
      </w:r>
      <w:r w:rsidR="000514BE" w:rsidRPr="008028E5">
        <w:rPr>
          <w:b/>
          <w:bCs/>
        </w:rPr>
        <w:t>oal-CCS</w:t>
      </w:r>
      <w:r w:rsidR="000514BE" w:rsidRPr="000514BE">
        <w:t xml:space="preserve"> model</w:t>
      </w:r>
      <w:r w:rsidR="000838D6">
        <w:t xml:space="preserve"> (</w:t>
      </w:r>
      <w:r w:rsidR="000838D6" w:rsidRPr="001B7B88">
        <w:rPr>
          <w:b/>
          <w:bCs/>
          <w:i/>
          <w:iCs/>
          <w:color w:val="4472C4" w:themeColor="accent1"/>
        </w:rPr>
        <w:t>01d-jedi-coal-CCS-Xie</w:t>
      </w:r>
      <w:r w:rsidR="00FC20ED" w:rsidRPr="001B7B88">
        <w:rPr>
          <w:b/>
          <w:bCs/>
          <w:i/>
          <w:iCs/>
          <w:color w:val="4472C4" w:themeColor="accent1"/>
        </w:rPr>
        <w:t>.xlsm</w:t>
      </w:r>
      <w:r w:rsidR="000838D6">
        <w:t>)</w:t>
      </w:r>
      <w:r w:rsidR="000514BE" w:rsidRPr="000514BE">
        <w:t xml:space="preserve"> </w:t>
      </w:r>
      <w:r w:rsidR="00033104">
        <w:t xml:space="preserve">is a modified version of the coal model, incorporating adjustments </w:t>
      </w:r>
      <w:r w:rsidR="001F1713">
        <w:t>based on</w:t>
      </w:r>
      <w:r w:rsidR="00033104">
        <w:t xml:space="preserve"> Tables S12, S13, and S14</w:t>
      </w:r>
      <w:r w:rsidR="001B1380">
        <w:t xml:space="preserve"> </w:t>
      </w:r>
      <w:r w:rsidR="00CD2F4F">
        <w:t>from Xie et al</w:t>
      </w:r>
      <w:r w:rsidR="006C3DC3">
        <w:t>.</w:t>
      </w:r>
      <w:r w:rsidR="00CD2F4F">
        <w:t xml:space="preserve"> (2023)</w:t>
      </w:r>
      <w:r w:rsidR="00CE76F3">
        <w:fldChar w:fldCharType="begin"/>
      </w:r>
      <w:r w:rsidR="00CE76F3">
        <w:instrText xml:space="preserve"> ADDIN ZOTERO_ITEM CSL_CITATION {"citationID":"3eX173kf","properties":{"formattedCitation":"\\super 3\\nosupersub{}","plainCitation":"3","noteIndex":0},"citationItems":[{"id":6612,"uris":["http://zotero.org/users/9896081/items/JRZFD5VH"],"itemData":{"id":6612,"type":"article-journal","abstract":"The transition towards a low-carbon power system presents challenges and opportunities for the workforce with important implications for just transitions. Studies of these distributional labour impacts could benefit from tighter linkages between energy and employment modelling. Here, we couple a power-sector optimization model, an employment impact model and demographic databases to understand state-level job characteristics and the societal implications of low-carbon transitions in the US. Although decarbonization brings consistent job growth, it heightens the need for investment in human capital and supply chain restructuring. Major fossil fuel-producing states need to prepare for fewer mining jobs under the US Long-Term Strategy, so other opportunities should be created or seized. The lowest-skilled workers will experience more uncertain employment outcomes. Expanding renewable energy could improve opportunities for women in fossil fuel-dependent states, but not enough to disrupt the national gender status quo. This work provides a new quantitative perspective to inform proactive just transition policies.","container-title":"Nature Climate Change","DOI":"10.1038/s41558-023-01802-5","ISSN":"1758-6798","issue":"11","journalAbbreviation":"Nat. Clim. Chang.","language":"en","license":"2023 The Author(s)","note":"publisher: Nature Publishing Group","page":"1203-1212","source":"www.nature.com","title":"Distributional labour challenges and opportunities for decarbonizing the US power system","volume":"13","author":[{"family":"Xie","given":"Judy Jingwei"},{"family":"Martin","given":"Melissa"},{"family":"Rogelj","given":"Joeri"},{"family":"Staffell","given":"Iain"}],"issued":{"date-parts":[["2023",11]]}}}],"schema":"https://github.com/citation-style-language/schema/raw/master/csl-citation.json"} </w:instrText>
      </w:r>
      <w:r w:rsidR="00CE76F3">
        <w:fldChar w:fldCharType="separate"/>
      </w:r>
      <w:r w:rsidR="00CE76F3" w:rsidRPr="00CE76F3">
        <w:rPr>
          <w:rFonts w:ascii="Calibri" w:hAnsi="Calibri" w:cs="Calibri"/>
          <w:szCs w:val="24"/>
          <w:vertAlign w:val="superscript"/>
        </w:rPr>
        <w:t>3</w:t>
      </w:r>
      <w:r w:rsidR="00CE76F3">
        <w:fldChar w:fldCharType="end"/>
      </w:r>
      <w:r w:rsidR="008C58C6">
        <w:t xml:space="preserve">. </w:t>
      </w:r>
      <w:r w:rsidR="004C7BFE" w:rsidRPr="00F304E4">
        <w:t xml:space="preserve">The associated Python script is </w:t>
      </w:r>
      <w:r w:rsidR="004C7BFE" w:rsidRPr="001B7B88">
        <w:rPr>
          <w:b/>
          <w:bCs/>
          <w:i/>
          <w:iCs/>
          <w:color w:val="4472C4" w:themeColor="accent1"/>
        </w:rPr>
        <w:t>jedi_coal_CCS.ipynb</w:t>
      </w:r>
      <w:r w:rsidR="003C3248">
        <w:t>, and o</w:t>
      </w:r>
      <w:r w:rsidR="008F0E6C">
        <w:t xml:space="preserve">utput is </w:t>
      </w:r>
      <w:r w:rsidR="008F0E6C" w:rsidRPr="001B7B88">
        <w:rPr>
          <w:b/>
          <w:bCs/>
          <w:i/>
          <w:iCs/>
          <w:color w:val="4472C4" w:themeColor="accent1"/>
        </w:rPr>
        <w:t>EF/JEDI_coal_CCS.csv</w:t>
      </w:r>
      <w:r w:rsidR="008F0E6C">
        <w:rPr>
          <w:rStyle w:val="SubtleEmphasis"/>
          <w:i w:val="0"/>
          <w:iCs w:val="0"/>
        </w:rPr>
        <w:t>.</w:t>
      </w:r>
    </w:p>
    <w:p w14:paraId="54EE0A7D" w14:textId="41EB5EF2" w:rsidR="007F4B97" w:rsidRDefault="007F4B97" w:rsidP="00ED7E60">
      <w:pPr>
        <w:pStyle w:val="Heading3"/>
      </w:pPr>
      <w:bookmarkStart w:id="19" w:name="_Toc178345338"/>
      <w:r>
        <w:t>2.3.3 Natural gas and natural gas-CCS</w:t>
      </w:r>
      <w:bookmarkEnd w:id="19"/>
    </w:p>
    <w:p w14:paraId="7ECF8A2D" w14:textId="713894CF" w:rsidR="00264ABF" w:rsidRDefault="00264ABF" w:rsidP="00264ABF">
      <w:pPr>
        <w:rPr>
          <w:color w:val="FF0000"/>
        </w:rPr>
      </w:pPr>
      <w:r w:rsidRPr="006B5A76">
        <w:rPr>
          <w:rStyle w:val="SubtleEmphasis"/>
          <w:i w:val="0"/>
          <w:iCs w:val="0"/>
        </w:rPr>
        <w:t xml:space="preserve">For </w:t>
      </w:r>
      <w:r w:rsidR="00532C3E">
        <w:rPr>
          <w:rStyle w:val="SubtleEmphasis"/>
          <w:b/>
          <w:bCs/>
          <w:i w:val="0"/>
          <w:iCs w:val="0"/>
        </w:rPr>
        <w:t>gas</w:t>
      </w:r>
      <w:r w:rsidRPr="006B5A76">
        <w:rPr>
          <w:rStyle w:val="SubtleEmphasis"/>
          <w:i w:val="0"/>
          <w:iCs w:val="0"/>
        </w:rPr>
        <w:t xml:space="preserve"> fuel type</w:t>
      </w:r>
      <w:r>
        <w:rPr>
          <w:rStyle w:val="SubtleEmphasis"/>
          <w:i w:val="0"/>
          <w:iCs w:val="0"/>
        </w:rPr>
        <w:t xml:space="preserve"> in GCAM</w:t>
      </w:r>
      <w:r w:rsidRPr="006B5A76">
        <w:rPr>
          <w:rStyle w:val="SubtleEmphasis"/>
          <w:i w:val="0"/>
          <w:iCs w:val="0"/>
        </w:rPr>
        <w:t xml:space="preserve">, we </w:t>
      </w:r>
      <w:r w:rsidR="00473F72">
        <w:rPr>
          <w:rStyle w:val="SubtleEmphasis"/>
          <w:i w:val="0"/>
          <w:iCs w:val="0"/>
        </w:rPr>
        <w:t>run</w:t>
      </w:r>
      <w:r w:rsidRPr="006B5A76">
        <w:rPr>
          <w:rStyle w:val="SubtleEmphasis"/>
          <w:i w:val="0"/>
          <w:iCs w:val="0"/>
        </w:rPr>
        <w:t xml:space="preserve"> JEDI’s </w:t>
      </w:r>
      <w:r w:rsidR="00354BA4">
        <w:rPr>
          <w:rStyle w:val="SubtleEmphasis"/>
          <w:b/>
          <w:bCs/>
          <w:i w:val="0"/>
          <w:iCs w:val="0"/>
        </w:rPr>
        <w:t>Natural Gas</w:t>
      </w:r>
      <w:r w:rsidRPr="006B5A76">
        <w:rPr>
          <w:rStyle w:val="SubtleEmphasis"/>
          <w:i w:val="0"/>
          <w:iCs w:val="0"/>
        </w:rPr>
        <w:t xml:space="preserve"> model (</w:t>
      </w:r>
      <w:r w:rsidR="00324EFF" w:rsidRPr="001B7B88">
        <w:rPr>
          <w:b/>
          <w:bCs/>
          <w:i/>
          <w:iCs/>
          <w:color w:val="4472C4" w:themeColor="accent1"/>
        </w:rPr>
        <w:t>01d-jedi-ngas-model_rel-ng4-17-17</w:t>
      </w:r>
      <w:r w:rsidRPr="001B7B88">
        <w:rPr>
          <w:b/>
          <w:bCs/>
          <w:i/>
          <w:iCs/>
          <w:color w:val="4472C4" w:themeColor="accent1"/>
        </w:rPr>
        <w:t>.xlsm</w:t>
      </w:r>
      <w:r w:rsidRPr="006B5A76">
        <w:rPr>
          <w:rStyle w:val="SubtleEmphasis"/>
          <w:i w:val="0"/>
          <w:iCs w:val="0"/>
        </w:rPr>
        <w:t>)</w:t>
      </w:r>
      <w:r>
        <w:rPr>
          <w:rStyle w:val="SubtleEmphasis"/>
          <w:i w:val="0"/>
          <w:iCs w:val="0"/>
        </w:rPr>
        <w:t xml:space="preserve">, </w:t>
      </w:r>
      <w:r w:rsidR="00473F72">
        <w:rPr>
          <w:rStyle w:val="SubtleEmphasis"/>
          <w:i w:val="0"/>
          <w:iCs w:val="0"/>
        </w:rPr>
        <w:t>via</w:t>
      </w:r>
      <w:r>
        <w:rPr>
          <w:rStyle w:val="SubtleEmphasis"/>
          <w:i w:val="0"/>
          <w:iCs w:val="0"/>
        </w:rPr>
        <w:t xml:space="preserve"> Python script is </w:t>
      </w:r>
      <w:r w:rsidR="00637426" w:rsidRPr="001B7B88">
        <w:rPr>
          <w:rStyle w:val="SubtleEmphasis"/>
          <w:b/>
          <w:bCs/>
          <w:color w:val="4472C4" w:themeColor="accent1"/>
        </w:rPr>
        <w:t>jedi_natural_gas</w:t>
      </w:r>
      <w:r w:rsidRPr="001B7B88">
        <w:rPr>
          <w:b/>
          <w:bCs/>
          <w:i/>
          <w:iCs/>
          <w:color w:val="4472C4" w:themeColor="accent1"/>
        </w:rPr>
        <w:t>.</w:t>
      </w:r>
      <w:r w:rsidR="009F5907" w:rsidRPr="001B7B88">
        <w:rPr>
          <w:b/>
          <w:bCs/>
          <w:i/>
          <w:iCs/>
          <w:color w:val="4472C4" w:themeColor="accent1"/>
        </w:rPr>
        <w:t>ipynb</w:t>
      </w:r>
      <w:r w:rsidR="009F5907">
        <w:rPr>
          <w:rStyle w:val="SubtleEmphasis"/>
          <w:i w:val="0"/>
          <w:iCs w:val="0"/>
        </w:rPr>
        <w:t xml:space="preserve"> and</w:t>
      </w:r>
      <w:r w:rsidR="00A80C1F">
        <w:rPr>
          <w:rStyle w:val="SubtleEmphasis"/>
          <w:i w:val="0"/>
          <w:iCs w:val="0"/>
        </w:rPr>
        <w:t xml:space="preserve"> produce o</w:t>
      </w:r>
      <w:r>
        <w:rPr>
          <w:rStyle w:val="SubtleEmphasis"/>
          <w:i w:val="0"/>
          <w:iCs w:val="0"/>
        </w:rPr>
        <w:t xml:space="preserve">utput </w:t>
      </w:r>
      <w:r w:rsidRPr="001B7B88">
        <w:rPr>
          <w:b/>
          <w:bCs/>
          <w:i/>
          <w:iCs/>
          <w:color w:val="4472C4" w:themeColor="accent1"/>
        </w:rPr>
        <w:t>EF/</w:t>
      </w:r>
      <w:r w:rsidR="00531A81" w:rsidRPr="001B7B88">
        <w:rPr>
          <w:b/>
          <w:bCs/>
          <w:i/>
          <w:iCs/>
          <w:color w:val="4472C4" w:themeColor="accent1"/>
        </w:rPr>
        <w:t>JEDI_natural_gas</w:t>
      </w:r>
      <w:r w:rsidRPr="001B7B88">
        <w:rPr>
          <w:b/>
          <w:bCs/>
          <w:i/>
          <w:iCs/>
          <w:color w:val="4472C4" w:themeColor="accent1"/>
        </w:rPr>
        <w:t>.csv</w:t>
      </w:r>
      <w:r>
        <w:rPr>
          <w:rStyle w:val="SubtleEmphasis"/>
          <w:i w:val="0"/>
          <w:iCs w:val="0"/>
        </w:rPr>
        <w:t>.</w:t>
      </w:r>
    </w:p>
    <w:p w14:paraId="1A1497FC" w14:textId="6137D7E9" w:rsidR="00126E40" w:rsidRPr="001B55A1" w:rsidRDefault="00264ABF" w:rsidP="00126E40">
      <w:pPr>
        <w:rPr>
          <w:color w:val="FF0000"/>
        </w:rPr>
      </w:pPr>
      <w:r>
        <w:lastRenderedPageBreak/>
        <w:t>The</w:t>
      </w:r>
      <w:r w:rsidRPr="000514BE">
        <w:t xml:space="preserve"> </w:t>
      </w:r>
      <w:r w:rsidR="00FB41E8">
        <w:rPr>
          <w:b/>
          <w:bCs/>
        </w:rPr>
        <w:t>gas</w:t>
      </w:r>
      <w:r w:rsidRPr="008028E5">
        <w:rPr>
          <w:b/>
          <w:bCs/>
        </w:rPr>
        <w:t>-CCS</w:t>
      </w:r>
      <w:r w:rsidRPr="000514BE">
        <w:t xml:space="preserve"> model</w:t>
      </w:r>
      <w:r>
        <w:t xml:space="preserve"> (</w:t>
      </w:r>
      <w:r w:rsidR="00FB41E8" w:rsidRPr="001B7B88">
        <w:rPr>
          <w:b/>
          <w:bCs/>
          <w:i/>
          <w:iCs/>
          <w:color w:val="4472C4" w:themeColor="accent1"/>
        </w:rPr>
        <w:t>01d-jedi-ngas-CCS-Xie</w:t>
      </w:r>
      <w:r w:rsidRPr="001B7B88">
        <w:rPr>
          <w:b/>
          <w:bCs/>
          <w:i/>
          <w:iCs/>
          <w:color w:val="4472C4" w:themeColor="accent1"/>
        </w:rPr>
        <w:t>.xlsm</w:t>
      </w:r>
      <w:r>
        <w:t>)</w:t>
      </w:r>
      <w:r w:rsidRPr="000514BE">
        <w:t xml:space="preserve"> is </w:t>
      </w:r>
      <w:r w:rsidR="00B65083">
        <w:t>a modified version of the natural gas model</w:t>
      </w:r>
      <w:r w:rsidR="0083325A">
        <w:t xml:space="preserve">, incorporating adjustments from </w:t>
      </w:r>
      <w:r>
        <w:t>Tables S</w:t>
      </w:r>
      <w:r w:rsidR="001D2DF9">
        <w:t xml:space="preserve">9 </w:t>
      </w:r>
      <w:r>
        <w:t>and S1</w:t>
      </w:r>
      <w:r w:rsidR="001D2DF9">
        <w:t>0</w:t>
      </w:r>
      <w:r>
        <w:t xml:space="preserve"> from Xie et al. (2023)</w:t>
      </w:r>
      <w:r>
        <w:fldChar w:fldCharType="begin"/>
      </w:r>
      <w:r w:rsidR="00AA2E08">
        <w:instrText xml:space="preserve"> ADDIN ZOTERO_ITEM CSL_CITATION {"citationID":"fnswP6vs","properties":{"formattedCitation":"\\super 3\\nosupersub{}","plainCitation":"3","noteIndex":0},"citationItems":[{"id":6612,"uris":["http://zotero.org/users/9896081/items/JRZFD5VH"],"itemData":{"id":6612,"type":"article-journal","abstract":"The transition towards a low-carbon power system presents challenges and opportunities for the workforce with important implications for just transitions. Studies of these distributional labour impacts could benefit from tighter linkages between energy and employment modelling. Here, we couple a power-sector optimization model, an employment impact model and demographic databases to understand state-level job characteristics and the societal implications of low-carbon transitions in the US. Although decarbonization brings consistent job growth, it heightens the need for investment in human capital and supply chain restructuring. Major fossil fuel-producing states need to prepare for fewer mining jobs under the US Long-Term Strategy, so other opportunities should be created or seized. The lowest-skilled workers will experience more uncertain employment outcomes. Expanding renewable energy could improve opportunities for women in fossil fuel-dependent states, but not enough to disrupt the national gender status quo. This work provides a new quantitative perspective to inform proactive just transition policies.","container-title":"Nature Climate Change","DOI":"10.1038/s41558-023-01802-5","ISSN":"1758-6798","issue":"11","journalAbbreviation":"Nat. Clim. Chang.","language":"en","license":"2023 The Author(s)","note":"publisher: Nature Publishing Group","page":"1203-1212","source":"www.nature.com","title":"Distributional labour challenges and opportunities for decarbonizing the US power system","volume":"13","author":[{"family":"Xie","given":"Judy Jingwei"},{"family":"Martin","given":"Melissa"},{"family":"Rogelj","given":"Joeri"},{"family":"Staffell","given":"Iain"}],"issued":{"date-parts":[["2023",11]]}}}],"schema":"https://github.com/citation-style-language/schema/raw/master/csl-citation.json"} </w:instrText>
      </w:r>
      <w:r>
        <w:fldChar w:fldCharType="separate"/>
      </w:r>
      <w:r w:rsidRPr="00CE76F3">
        <w:rPr>
          <w:rFonts w:ascii="Calibri" w:hAnsi="Calibri" w:cs="Calibri"/>
          <w:szCs w:val="24"/>
          <w:vertAlign w:val="superscript"/>
        </w:rPr>
        <w:t>3</w:t>
      </w:r>
      <w:r>
        <w:fldChar w:fldCharType="end"/>
      </w:r>
      <w:r>
        <w:t>.</w:t>
      </w:r>
      <w:r>
        <w:rPr>
          <w:color w:val="FF0000"/>
        </w:rPr>
        <w:t xml:space="preserve"> </w:t>
      </w:r>
      <w:r w:rsidR="002865E3">
        <w:t xml:space="preserve">Note that in Table S10, the “Variable Subtotal” is </w:t>
      </w:r>
      <w:r w:rsidR="00567F47">
        <w:t xml:space="preserve">listed as </w:t>
      </w:r>
      <w:r w:rsidR="002865E3">
        <w:t xml:space="preserve">6.19 $/MWh, while </w:t>
      </w:r>
      <w:r w:rsidR="00567F47">
        <w:t>when inputting costs for "Routine Turbine Maintenance," "Water," and "Catalysts &amp; Chemicals" into the JEDI natural gas model, the internal formula calculates a subtotal of $5.89/MWh. We maintain the $5.89 value for the "Variable Subtotal" in our modified gas-CCS model</w:t>
      </w:r>
      <w:r w:rsidR="002865E3">
        <w:t>.</w:t>
      </w:r>
      <w:r w:rsidR="002865E3">
        <w:rPr>
          <w:color w:val="FF0000"/>
        </w:rPr>
        <w:t xml:space="preserve"> </w:t>
      </w:r>
      <w:r w:rsidRPr="00F304E4">
        <w:t xml:space="preserve">The associated Python script is </w:t>
      </w:r>
      <w:r w:rsidR="00DE2BC3" w:rsidRPr="001B7B88">
        <w:rPr>
          <w:b/>
          <w:bCs/>
          <w:i/>
          <w:iCs/>
          <w:color w:val="4472C4" w:themeColor="accent1"/>
        </w:rPr>
        <w:t>jedi_natural_gas_CCS</w:t>
      </w:r>
      <w:r w:rsidRPr="001B7B88">
        <w:rPr>
          <w:b/>
          <w:bCs/>
          <w:i/>
          <w:iCs/>
          <w:color w:val="4472C4" w:themeColor="accent1"/>
        </w:rPr>
        <w:t>.ipynb</w:t>
      </w:r>
      <w:r w:rsidR="00CC4D97">
        <w:t>, and o</w:t>
      </w:r>
      <w:r w:rsidR="00994EDF">
        <w:t xml:space="preserve">utput is </w:t>
      </w:r>
      <w:r w:rsidR="00994EDF" w:rsidRPr="001B7B88">
        <w:rPr>
          <w:b/>
          <w:bCs/>
          <w:i/>
          <w:iCs/>
          <w:color w:val="4472C4" w:themeColor="accent1"/>
        </w:rPr>
        <w:t>EF/JEDI_natural_gas_CCS.csv</w:t>
      </w:r>
      <w:r w:rsidR="00495FF1">
        <w:rPr>
          <w:rStyle w:val="SubtleEmphasis"/>
          <w:i w:val="0"/>
          <w:iCs w:val="0"/>
        </w:rPr>
        <w:t>.</w:t>
      </w:r>
    </w:p>
    <w:p w14:paraId="45460313" w14:textId="4FE98271" w:rsidR="007F4B97" w:rsidRDefault="007F4B97" w:rsidP="00ED7E60">
      <w:pPr>
        <w:pStyle w:val="Heading3"/>
      </w:pPr>
      <w:bookmarkStart w:id="20" w:name="_Toc178345339"/>
      <w:r>
        <w:t>2.3.4 Refined liquids and Refined liquids-CCS</w:t>
      </w:r>
      <w:bookmarkEnd w:id="20"/>
    </w:p>
    <w:p w14:paraId="7C851559" w14:textId="44CB1474" w:rsidR="00E907B3" w:rsidRPr="00E907B3" w:rsidRDefault="000B749A" w:rsidP="00E907B3">
      <w:r>
        <w:t xml:space="preserve">The </w:t>
      </w:r>
      <w:r w:rsidRPr="00F26A33">
        <w:rPr>
          <w:b/>
          <w:bCs/>
        </w:rPr>
        <w:t>refined liquids</w:t>
      </w:r>
      <w:r>
        <w:t xml:space="preserve"> model</w:t>
      </w:r>
      <w:r w:rsidR="003977C7">
        <w:t xml:space="preserve"> (</w:t>
      </w:r>
      <w:r w:rsidR="00515C74" w:rsidRPr="001B7B88">
        <w:rPr>
          <w:b/>
          <w:bCs/>
          <w:i/>
          <w:iCs/>
          <w:color w:val="4472C4" w:themeColor="accent1"/>
        </w:rPr>
        <w:t>01d-jedi-refined-liquids-Xie.xlsm</w:t>
      </w:r>
      <w:r w:rsidR="003977C7">
        <w:t>)</w:t>
      </w:r>
      <w:r>
        <w:t xml:space="preserve"> is based on the </w:t>
      </w:r>
      <w:r w:rsidR="00243CA7">
        <w:t xml:space="preserve">JEDI’s coal </w:t>
      </w:r>
      <w:r w:rsidR="00E907B3" w:rsidRPr="00E907B3">
        <w:t>model</w:t>
      </w:r>
      <w:r w:rsidR="00E36DD4">
        <w:t xml:space="preserve">, with </w:t>
      </w:r>
      <w:r w:rsidR="00D31627">
        <w:t xml:space="preserve">a </w:t>
      </w:r>
      <w:r w:rsidR="00832205">
        <w:t>heat rate</w:t>
      </w:r>
      <w:r w:rsidR="00E36DD4">
        <w:t xml:space="preserve"> of </w:t>
      </w:r>
      <w:r w:rsidR="00CB53B5">
        <w:t xml:space="preserve">10767 Btu/kWh </w:t>
      </w:r>
      <w:r w:rsidR="00F33FE8">
        <w:t>following</w:t>
      </w:r>
      <w:r w:rsidR="00716DD2">
        <w:t xml:space="preserve"> Xie et al. (2023)</w:t>
      </w:r>
      <w:r w:rsidR="00AA2E08">
        <w:fldChar w:fldCharType="begin"/>
      </w:r>
      <w:r w:rsidR="00AA2E08">
        <w:instrText xml:space="preserve"> ADDIN ZOTERO_ITEM CSL_CITATION {"citationID":"PS0b3O03","properties":{"formattedCitation":"\\super 3\\nosupersub{}","plainCitation":"3","noteIndex":0},"citationItems":[{"id":6612,"uris":["http://zotero.org/users/9896081/items/JRZFD5VH"],"itemData":{"id":6612,"type":"article-journal","abstract":"The transition towards a low-carbon power system presents challenges and opportunities for the workforce with important implications for just transitions. Studies of these distributional labour impacts could benefit from tighter linkages between energy and employment modelling. Here, we couple a power-sector optimization model, an employment impact model and demographic databases to understand state-level job characteristics and the societal implications of low-carbon transitions in the US. Although decarbonization brings consistent job growth, it heightens the need for investment in human capital and supply chain restructuring. Major fossil fuel-producing states need to prepare for fewer mining jobs under the US Long-Term Strategy, so other opportunities should be created or seized. The lowest-skilled workers will experience more uncertain employment outcomes. Expanding renewable energy could improve opportunities for women in fossil fuel-dependent states, but not enough to disrupt the national gender status quo. This work provides a new quantitative perspective to inform proactive just transition policies.","container-title":"Nature Climate Change","DOI":"10.1038/s41558-023-01802-5","ISSN":"1758-6798","issue":"11","journalAbbreviation":"Nat. Clim. Chang.","language":"en","license":"2023 The Author(s)","note":"publisher: Nature Publishing Group","page":"1203-1212","source":"www.nature.com","title":"Distributional labour challenges and opportunities for decarbonizing the US power system","volume":"13","author":[{"family":"Xie","given":"Judy Jingwei"},{"family":"Martin","given":"Melissa"},{"family":"Rogelj","given":"Joeri"},{"family":"Staffell","given":"Iain"}],"issued":{"date-parts":[["2023",11]]}}}],"schema":"https://github.com/citation-style-language/schema/raw/master/csl-citation.json"} </w:instrText>
      </w:r>
      <w:r w:rsidR="00AA2E08">
        <w:fldChar w:fldCharType="separate"/>
      </w:r>
      <w:r w:rsidR="00AA2E08" w:rsidRPr="00AA2E08">
        <w:rPr>
          <w:rFonts w:ascii="Calibri" w:hAnsi="Calibri" w:cs="Calibri"/>
          <w:szCs w:val="24"/>
          <w:vertAlign w:val="superscript"/>
        </w:rPr>
        <w:t>3</w:t>
      </w:r>
      <w:r w:rsidR="00AA2E08">
        <w:fldChar w:fldCharType="end"/>
      </w:r>
      <w:r w:rsidR="00033081">
        <w:t xml:space="preserve">. </w:t>
      </w:r>
      <w:r w:rsidR="006100E1">
        <w:t xml:space="preserve">Output is </w:t>
      </w:r>
      <w:r w:rsidR="00A45F63" w:rsidRPr="001B7B88">
        <w:rPr>
          <w:b/>
          <w:bCs/>
          <w:i/>
          <w:iCs/>
          <w:color w:val="4472C4" w:themeColor="accent1"/>
        </w:rPr>
        <w:t>EF/JEDI_refined_liquids</w:t>
      </w:r>
      <w:r w:rsidR="00AA642C" w:rsidRPr="001B7B88">
        <w:rPr>
          <w:b/>
          <w:bCs/>
          <w:i/>
          <w:iCs/>
          <w:color w:val="4472C4" w:themeColor="accent1"/>
        </w:rPr>
        <w:t>.</w:t>
      </w:r>
      <w:r w:rsidR="00A45F63" w:rsidRPr="001B7B88">
        <w:rPr>
          <w:b/>
          <w:bCs/>
          <w:i/>
          <w:iCs/>
          <w:color w:val="4472C4" w:themeColor="accent1"/>
        </w:rPr>
        <w:t>csv</w:t>
      </w:r>
      <w:r w:rsidR="00A45F63">
        <w:t xml:space="preserve">, </w:t>
      </w:r>
      <w:r w:rsidR="006100E1">
        <w:t xml:space="preserve">obtained through </w:t>
      </w:r>
      <w:r w:rsidR="0005532F" w:rsidRPr="001B7B88">
        <w:rPr>
          <w:b/>
          <w:bCs/>
          <w:i/>
          <w:iCs/>
          <w:color w:val="4472C4" w:themeColor="accent1"/>
        </w:rPr>
        <w:t>jedi_refined_liquids.ipynb</w:t>
      </w:r>
      <w:r w:rsidR="0005532F">
        <w:t>.</w:t>
      </w:r>
      <w:r w:rsidR="004A23D7">
        <w:t xml:space="preserve"> </w:t>
      </w:r>
      <w:r w:rsidR="006A0C64">
        <w:t>T</w:t>
      </w:r>
      <w:r w:rsidR="00033081">
        <w:t xml:space="preserve">he </w:t>
      </w:r>
      <w:r w:rsidR="00033081" w:rsidRPr="003A58E2">
        <w:rPr>
          <w:b/>
          <w:bCs/>
        </w:rPr>
        <w:t>refined liquids-CCS</w:t>
      </w:r>
      <w:r w:rsidR="00033081">
        <w:t xml:space="preserve"> </w:t>
      </w:r>
      <w:r w:rsidR="003A58E2">
        <w:t xml:space="preserve">model </w:t>
      </w:r>
      <w:r w:rsidR="00033081">
        <w:t>is identical to the coal-CCS model</w:t>
      </w:r>
      <w:r w:rsidR="007C4575">
        <w:t xml:space="preserve">, and </w:t>
      </w:r>
      <w:r w:rsidR="00F26A33">
        <w:t xml:space="preserve">the </w:t>
      </w:r>
      <w:r w:rsidR="007C4575">
        <w:t xml:space="preserve">outcome is </w:t>
      </w:r>
      <w:r w:rsidR="007C4575" w:rsidRPr="001B7B88">
        <w:rPr>
          <w:b/>
          <w:bCs/>
          <w:i/>
          <w:iCs/>
          <w:color w:val="4472C4" w:themeColor="accent1"/>
        </w:rPr>
        <w:t>EF/JEDI_refined_liquids_CCS.csv</w:t>
      </w:r>
      <w:r w:rsidR="007C4575" w:rsidRPr="00CE508F">
        <w:t xml:space="preserve">, </w:t>
      </w:r>
      <w:r w:rsidR="00C57453">
        <w:t>generated</w:t>
      </w:r>
      <w:r w:rsidR="007C4575" w:rsidRPr="00CE508F">
        <w:t xml:space="preserve"> with</w:t>
      </w:r>
      <w:r w:rsidR="007C4575">
        <w:rPr>
          <w:b/>
          <w:bCs/>
          <w:i/>
          <w:iCs/>
          <w:color w:val="FF0000"/>
        </w:rPr>
        <w:t xml:space="preserve"> </w:t>
      </w:r>
      <w:r w:rsidR="007C4575" w:rsidRPr="001B7B88">
        <w:rPr>
          <w:b/>
          <w:bCs/>
          <w:i/>
          <w:iCs/>
          <w:color w:val="4472C4" w:themeColor="accent1"/>
        </w:rPr>
        <w:t>jedi_coal_CCS.ipynb</w:t>
      </w:r>
      <w:r w:rsidR="0087148A" w:rsidRPr="0087148A">
        <w:t>.</w:t>
      </w:r>
    </w:p>
    <w:p w14:paraId="5657065C" w14:textId="5A779F4B" w:rsidR="007F4B97" w:rsidRDefault="007F4B97" w:rsidP="00ED7E60">
      <w:pPr>
        <w:pStyle w:val="Heading3"/>
      </w:pPr>
      <w:bookmarkStart w:id="21" w:name="_Toc178345340"/>
      <w:r>
        <w:t>2.3.</w:t>
      </w:r>
      <w:r w:rsidR="006D6DE2">
        <w:t>5</w:t>
      </w:r>
      <w:r>
        <w:t xml:space="preserve"> Solar and rooftop PV</w:t>
      </w:r>
      <w:bookmarkEnd w:id="21"/>
    </w:p>
    <w:p w14:paraId="32FE2F67" w14:textId="5E97C690" w:rsidR="0026017A" w:rsidRPr="00E907B3" w:rsidRDefault="003B2B70" w:rsidP="0026017A">
      <w:r>
        <w:t>F</w:t>
      </w:r>
      <w:r w:rsidR="00650EF2">
        <w:t>or</w:t>
      </w:r>
      <w:r w:rsidR="00814B95">
        <w:t xml:space="preserve"> concentrated solar power</w:t>
      </w:r>
      <w:r w:rsidR="00650EF2">
        <w:t xml:space="preserve"> </w:t>
      </w:r>
      <w:r w:rsidR="00072261">
        <w:t>(</w:t>
      </w:r>
      <w:r w:rsidR="00650EF2" w:rsidRPr="003D5984">
        <w:rPr>
          <w:b/>
          <w:bCs/>
        </w:rPr>
        <w:t>CSP</w:t>
      </w:r>
      <w:r w:rsidR="00072261">
        <w:rPr>
          <w:b/>
          <w:bCs/>
        </w:rPr>
        <w:t>)</w:t>
      </w:r>
      <w:r w:rsidRPr="003B2B70">
        <w:t xml:space="preserve">, </w:t>
      </w:r>
      <w:r>
        <w:t xml:space="preserve">we run JEDI’s CSP model </w:t>
      </w:r>
      <w:r w:rsidR="00110A1B" w:rsidRPr="006B5A76">
        <w:rPr>
          <w:rStyle w:val="SubtleEmphasis"/>
          <w:i w:val="0"/>
          <w:iCs w:val="0"/>
        </w:rPr>
        <w:t>(</w:t>
      </w:r>
      <w:r w:rsidR="00110A1B" w:rsidRPr="00AC3E71">
        <w:rPr>
          <w:b/>
          <w:bCs/>
          <w:i/>
          <w:iCs/>
          <w:color w:val="4472C4" w:themeColor="accent1"/>
        </w:rPr>
        <w:t>01d-jedi-csp-trough-model-rel-csp12-23-16.xlsm</w:t>
      </w:r>
      <w:r w:rsidR="00110A1B" w:rsidRPr="006B5A76">
        <w:rPr>
          <w:rStyle w:val="SubtleEmphasis"/>
          <w:i w:val="0"/>
          <w:iCs w:val="0"/>
        </w:rPr>
        <w:t>)</w:t>
      </w:r>
      <w:r w:rsidR="00BE2E42">
        <w:t xml:space="preserve"> via</w:t>
      </w:r>
      <w:r w:rsidR="00BE2E42">
        <w:rPr>
          <w:b/>
          <w:bCs/>
          <w:i/>
          <w:iCs/>
          <w:color w:val="FF0000"/>
        </w:rPr>
        <w:t xml:space="preserve"> </w:t>
      </w:r>
      <w:r w:rsidR="00BE2E42" w:rsidRPr="00AC3E71">
        <w:rPr>
          <w:rStyle w:val="SubtleEmphasis"/>
          <w:b/>
          <w:bCs/>
          <w:color w:val="4472C4" w:themeColor="accent1"/>
        </w:rPr>
        <w:t>jedi_csp</w:t>
      </w:r>
      <w:r w:rsidR="00BE2E42" w:rsidRPr="00AC3E71">
        <w:rPr>
          <w:b/>
          <w:bCs/>
          <w:i/>
          <w:iCs/>
          <w:color w:val="4472C4" w:themeColor="accent1"/>
        </w:rPr>
        <w:t>.ipynb</w:t>
      </w:r>
      <w:r w:rsidR="00812F32">
        <w:t xml:space="preserve">, </w:t>
      </w:r>
      <w:r w:rsidR="0026017A">
        <w:t xml:space="preserve">and </w:t>
      </w:r>
      <w:r>
        <w:t xml:space="preserve">the </w:t>
      </w:r>
      <w:r w:rsidR="0026017A">
        <w:t xml:space="preserve">outcome is </w:t>
      </w:r>
      <w:r w:rsidR="00C136D4" w:rsidRPr="00AC3E71">
        <w:rPr>
          <w:b/>
          <w:bCs/>
          <w:i/>
          <w:iCs/>
          <w:color w:val="4472C4" w:themeColor="accent1"/>
        </w:rPr>
        <w:t>EF/JEDI_csp.csv</w:t>
      </w:r>
      <w:r w:rsidR="0026017A" w:rsidRPr="0087148A">
        <w:t>.</w:t>
      </w:r>
    </w:p>
    <w:p w14:paraId="29268218" w14:textId="10B23F90" w:rsidR="003629D6" w:rsidRDefault="002658CD" w:rsidP="003629D6">
      <w:r w:rsidRPr="002658CD">
        <w:t>For photovoltaic (PV) and rooftop PV, we use JEDI’s PV model (</w:t>
      </w:r>
      <w:r w:rsidRPr="00AC3E71">
        <w:rPr>
          <w:b/>
          <w:bCs/>
          <w:i/>
          <w:iCs/>
          <w:color w:val="4472C4" w:themeColor="accent1"/>
        </w:rPr>
        <w:t>jedi-pv-model.xlsm</w:t>
      </w:r>
      <w:r w:rsidRPr="002658CD">
        <w:t>), which includes three system types: utility, commercial, and residential.</w:t>
      </w:r>
      <w:r w:rsidR="00872741">
        <w:t xml:space="preserve"> </w:t>
      </w:r>
      <w:r w:rsidR="00C17478">
        <w:t>The</w:t>
      </w:r>
      <w:r w:rsidR="00127145">
        <w:t xml:space="preserve"> </w:t>
      </w:r>
      <w:r w:rsidR="00590B66">
        <w:t xml:space="preserve">utility system is used for </w:t>
      </w:r>
      <w:r w:rsidR="00590B66" w:rsidRPr="000025BB">
        <w:rPr>
          <w:b/>
          <w:bCs/>
        </w:rPr>
        <w:t>PV</w:t>
      </w:r>
      <w:r w:rsidR="00590B66">
        <w:t xml:space="preserve">, </w:t>
      </w:r>
      <w:r w:rsidR="00C17478">
        <w:t xml:space="preserve">the outcome is </w:t>
      </w:r>
      <w:r w:rsidR="00C17478" w:rsidRPr="00AC3E71">
        <w:rPr>
          <w:b/>
          <w:bCs/>
          <w:i/>
          <w:iCs/>
          <w:color w:val="4472C4" w:themeColor="accent1"/>
        </w:rPr>
        <w:t>EF/JEDI_pv_utility.csv</w:t>
      </w:r>
      <w:r w:rsidR="00C17478" w:rsidRPr="00CE508F">
        <w:t>, obtained with</w:t>
      </w:r>
      <w:r w:rsidR="00C17478">
        <w:rPr>
          <w:b/>
          <w:bCs/>
          <w:i/>
          <w:iCs/>
          <w:color w:val="FF0000"/>
        </w:rPr>
        <w:t xml:space="preserve"> </w:t>
      </w:r>
      <w:r w:rsidR="00C17478" w:rsidRPr="00AC3E71">
        <w:rPr>
          <w:rStyle w:val="SubtleEmphasis"/>
          <w:b/>
          <w:bCs/>
          <w:color w:val="4472C4" w:themeColor="accent1"/>
        </w:rPr>
        <w:t>jedi_pv_utility</w:t>
      </w:r>
      <w:r w:rsidR="00C17478" w:rsidRPr="00AC3E71">
        <w:rPr>
          <w:b/>
          <w:bCs/>
          <w:i/>
          <w:iCs/>
          <w:color w:val="4472C4" w:themeColor="accent1"/>
        </w:rPr>
        <w:t>.ipynb</w:t>
      </w:r>
      <w:r w:rsidR="00C17478" w:rsidRPr="0087148A">
        <w:t>.</w:t>
      </w:r>
      <w:r w:rsidR="003629D6">
        <w:t xml:space="preserve"> The residential system and commercial system are used for </w:t>
      </w:r>
      <w:r w:rsidR="003629D6" w:rsidRPr="00176FC6">
        <w:rPr>
          <w:b/>
          <w:bCs/>
        </w:rPr>
        <w:t>rootop_pv</w:t>
      </w:r>
      <w:r w:rsidR="003629D6">
        <w:t xml:space="preserve">. </w:t>
      </w:r>
      <w:r w:rsidR="00E81053">
        <w:t xml:space="preserve">Outcomes are </w:t>
      </w:r>
      <w:r w:rsidR="00E81053" w:rsidRPr="00AC3E71">
        <w:rPr>
          <w:b/>
          <w:bCs/>
          <w:i/>
          <w:iCs/>
          <w:color w:val="4472C4" w:themeColor="accent1"/>
        </w:rPr>
        <w:t>EF/JEDI_pv_residential.csv</w:t>
      </w:r>
      <w:r w:rsidR="00E81053" w:rsidRPr="00AC3E71">
        <w:rPr>
          <w:color w:val="4472C4" w:themeColor="accent1"/>
        </w:rPr>
        <w:t xml:space="preserve"> </w:t>
      </w:r>
      <w:r w:rsidR="00E81053">
        <w:t xml:space="preserve">and </w:t>
      </w:r>
      <w:r w:rsidR="00E81053" w:rsidRPr="00CE508F">
        <w:t xml:space="preserve"> </w:t>
      </w:r>
      <w:r w:rsidR="00E81053" w:rsidRPr="00AC3E71">
        <w:rPr>
          <w:b/>
          <w:bCs/>
          <w:i/>
          <w:iCs/>
          <w:color w:val="4472C4" w:themeColor="accent1"/>
        </w:rPr>
        <w:t>EF/JEDI_pv_</w:t>
      </w:r>
      <w:r w:rsidR="00400DDB" w:rsidRPr="00AC3E71">
        <w:rPr>
          <w:b/>
          <w:bCs/>
          <w:i/>
          <w:iCs/>
          <w:color w:val="4472C4" w:themeColor="accent1"/>
        </w:rPr>
        <w:t>commercial</w:t>
      </w:r>
      <w:r w:rsidR="00E81053" w:rsidRPr="00AC3E71">
        <w:rPr>
          <w:b/>
          <w:bCs/>
          <w:i/>
          <w:iCs/>
          <w:color w:val="4472C4" w:themeColor="accent1"/>
        </w:rPr>
        <w:t>.csv</w:t>
      </w:r>
      <w:r w:rsidR="00E81053">
        <w:t xml:space="preserve">, </w:t>
      </w:r>
      <w:r w:rsidR="00E81053" w:rsidRPr="00CE508F">
        <w:t>obtained with</w:t>
      </w:r>
      <w:r w:rsidR="00E81053">
        <w:rPr>
          <w:b/>
          <w:bCs/>
          <w:i/>
          <w:iCs/>
          <w:color w:val="FF0000"/>
        </w:rPr>
        <w:t xml:space="preserve"> </w:t>
      </w:r>
      <w:r w:rsidR="00E81053" w:rsidRPr="00AC3E71">
        <w:rPr>
          <w:rStyle w:val="SubtleEmphasis"/>
          <w:b/>
          <w:bCs/>
          <w:color w:val="4472C4" w:themeColor="accent1"/>
        </w:rPr>
        <w:t>jedi_pv_</w:t>
      </w:r>
      <w:r w:rsidR="00400DDB" w:rsidRPr="00AC3E71">
        <w:rPr>
          <w:rStyle w:val="SubtleEmphasis"/>
          <w:b/>
          <w:bCs/>
          <w:color w:val="4472C4" w:themeColor="accent1"/>
        </w:rPr>
        <w:t>residential</w:t>
      </w:r>
      <w:r w:rsidR="00E81053" w:rsidRPr="00AC3E71">
        <w:rPr>
          <w:b/>
          <w:bCs/>
          <w:i/>
          <w:iCs/>
          <w:color w:val="4472C4" w:themeColor="accent1"/>
        </w:rPr>
        <w:t>.ipynb</w:t>
      </w:r>
      <w:r w:rsidR="00400DDB" w:rsidRPr="00AC3E71">
        <w:rPr>
          <w:color w:val="4472C4" w:themeColor="accent1"/>
        </w:rPr>
        <w:t xml:space="preserve"> </w:t>
      </w:r>
      <w:r w:rsidR="00400DDB">
        <w:t xml:space="preserve">and </w:t>
      </w:r>
      <w:r w:rsidR="002348D5" w:rsidRPr="00AC3E71">
        <w:rPr>
          <w:rStyle w:val="SubtleEmphasis"/>
          <w:b/>
          <w:bCs/>
          <w:color w:val="4472C4" w:themeColor="accent1"/>
        </w:rPr>
        <w:t>jedi_pv_</w:t>
      </w:r>
      <w:r w:rsidR="00BE1BCE" w:rsidRPr="00AC3E71">
        <w:rPr>
          <w:rStyle w:val="SubtleEmphasis"/>
          <w:b/>
          <w:bCs/>
          <w:color w:val="4472C4" w:themeColor="accent1"/>
        </w:rPr>
        <w:t>commercial</w:t>
      </w:r>
      <w:r w:rsidR="002348D5" w:rsidRPr="00AC3E71">
        <w:rPr>
          <w:b/>
          <w:bCs/>
          <w:i/>
          <w:iCs/>
          <w:color w:val="4472C4" w:themeColor="accent1"/>
        </w:rPr>
        <w:t>.ipynb</w:t>
      </w:r>
      <w:r w:rsidR="00CF60AA">
        <w:t>, respectively.</w:t>
      </w:r>
    </w:p>
    <w:p w14:paraId="57A01F3D" w14:textId="0086444A" w:rsidR="007F4B97" w:rsidRDefault="007F4B97" w:rsidP="00ED7E60">
      <w:pPr>
        <w:pStyle w:val="Heading3"/>
      </w:pPr>
      <w:bookmarkStart w:id="22" w:name="_Toc178345341"/>
      <w:r>
        <w:t>2.3.</w:t>
      </w:r>
      <w:r w:rsidR="006D6DE2">
        <w:t>6</w:t>
      </w:r>
      <w:r>
        <w:t xml:space="preserve"> Onshore wind and offshore wind</w:t>
      </w:r>
      <w:bookmarkEnd w:id="22"/>
    </w:p>
    <w:p w14:paraId="77ECA024" w14:textId="2714A2DA" w:rsidR="002505C2" w:rsidRDefault="00C518E3" w:rsidP="002505C2">
      <w:r>
        <w:t>JEDI’s land-based wind model (</w:t>
      </w:r>
      <w:r w:rsidRPr="00AC3E71">
        <w:rPr>
          <w:b/>
          <w:bCs/>
          <w:color w:val="4472C4" w:themeColor="accent1"/>
        </w:rPr>
        <w:t>JEDI Beta Windows</w:t>
      </w:r>
      <w:r w:rsidR="003B36CA" w:rsidRPr="00AC3E71">
        <w:rPr>
          <w:b/>
          <w:bCs/>
          <w:color w:val="4472C4" w:themeColor="accent1"/>
        </w:rPr>
        <w:t>/ jedi-lbw-model-w2020.xlsm</w:t>
      </w:r>
      <w:r>
        <w:t xml:space="preserve">) is used for </w:t>
      </w:r>
      <w:r w:rsidRPr="00C518E3">
        <w:rPr>
          <w:b/>
          <w:bCs/>
        </w:rPr>
        <w:t>wind</w:t>
      </w:r>
      <w:r>
        <w:t xml:space="preserve"> model.</w:t>
      </w:r>
      <w:r w:rsidRPr="00C518E3">
        <w:t xml:space="preserve"> </w:t>
      </w:r>
      <w:r w:rsidR="00230F80">
        <w:t>T</w:t>
      </w:r>
      <w:r>
        <w:t xml:space="preserve">he outcome is </w:t>
      </w:r>
      <w:r w:rsidRPr="00AC3E71">
        <w:rPr>
          <w:b/>
          <w:bCs/>
          <w:i/>
          <w:iCs/>
          <w:color w:val="4472C4" w:themeColor="accent1"/>
        </w:rPr>
        <w:t>EF/</w:t>
      </w:r>
      <w:r w:rsidR="00D442C2" w:rsidRPr="00AC3E71">
        <w:rPr>
          <w:b/>
          <w:bCs/>
          <w:i/>
          <w:iCs/>
          <w:color w:val="4472C4" w:themeColor="accent1"/>
        </w:rPr>
        <w:t>JEDI_onshore_wind</w:t>
      </w:r>
      <w:r w:rsidRPr="00AC3E71">
        <w:rPr>
          <w:b/>
          <w:bCs/>
          <w:i/>
          <w:iCs/>
          <w:color w:val="4472C4" w:themeColor="accent1"/>
        </w:rPr>
        <w:t>.csv</w:t>
      </w:r>
      <w:r w:rsidRPr="00CE508F">
        <w:t>, obtained with</w:t>
      </w:r>
      <w:r>
        <w:rPr>
          <w:b/>
          <w:bCs/>
          <w:i/>
          <w:iCs/>
          <w:color w:val="FF0000"/>
        </w:rPr>
        <w:t xml:space="preserve"> </w:t>
      </w:r>
      <w:r w:rsidR="00D0267B" w:rsidRPr="00AC3E71">
        <w:rPr>
          <w:rStyle w:val="SubtleEmphasis"/>
          <w:b/>
          <w:bCs/>
          <w:color w:val="4472C4" w:themeColor="accent1"/>
        </w:rPr>
        <w:t>jedi_onshore_wind</w:t>
      </w:r>
      <w:r w:rsidRPr="00AC3E71">
        <w:rPr>
          <w:b/>
          <w:bCs/>
          <w:i/>
          <w:iCs/>
          <w:color w:val="4472C4" w:themeColor="accent1"/>
        </w:rPr>
        <w:t>.ipynb</w:t>
      </w:r>
      <w:r w:rsidRPr="0087148A">
        <w:t>.</w:t>
      </w:r>
    </w:p>
    <w:p w14:paraId="16D6F947" w14:textId="6E01F78D" w:rsidR="006F3E46" w:rsidRPr="002505C2" w:rsidRDefault="006F3E46" w:rsidP="002505C2">
      <w:r>
        <w:t xml:space="preserve">JEDI’s </w:t>
      </w:r>
      <w:r w:rsidR="00C9689A">
        <w:t>offshore</w:t>
      </w:r>
      <w:r>
        <w:t xml:space="preserve"> wind model (</w:t>
      </w:r>
      <w:r w:rsidR="004637D0" w:rsidRPr="00AC3E71">
        <w:rPr>
          <w:b/>
          <w:bCs/>
          <w:color w:val="4472C4" w:themeColor="accent1"/>
        </w:rPr>
        <w:t>JEDI_installer_Windows</w:t>
      </w:r>
      <w:r w:rsidR="00373CE4" w:rsidRPr="00AC3E71">
        <w:rPr>
          <w:b/>
          <w:bCs/>
          <w:color w:val="4472C4" w:themeColor="accent1"/>
        </w:rPr>
        <w:t>/ jedi-osw-model-rel.2021-3.xlsm</w:t>
      </w:r>
      <w:r>
        <w:t xml:space="preserve">) is used for </w:t>
      </w:r>
      <w:r w:rsidR="002E2638" w:rsidRPr="002E2638">
        <w:rPr>
          <w:b/>
          <w:bCs/>
        </w:rPr>
        <w:t>offshore</w:t>
      </w:r>
      <w:r w:rsidR="002E2638">
        <w:t xml:space="preserve"> </w:t>
      </w:r>
      <w:r w:rsidRPr="00C518E3">
        <w:rPr>
          <w:b/>
          <w:bCs/>
        </w:rPr>
        <w:t>wind</w:t>
      </w:r>
      <w:r>
        <w:t xml:space="preserve"> model.</w:t>
      </w:r>
      <w:r w:rsidRPr="00C518E3">
        <w:t xml:space="preserve"> </w:t>
      </w:r>
      <w:r>
        <w:t xml:space="preserve">The outcome is </w:t>
      </w:r>
      <w:r w:rsidRPr="00AC3E71">
        <w:rPr>
          <w:b/>
          <w:bCs/>
          <w:i/>
          <w:iCs/>
          <w:color w:val="4472C4" w:themeColor="accent1"/>
        </w:rPr>
        <w:t>EF/JEDI_</w:t>
      </w:r>
      <w:r w:rsidR="00C7330A" w:rsidRPr="00AC3E71">
        <w:rPr>
          <w:b/>
          <w:bCs/>
          <w:i/>
          <w:iCs/>
          <w:color w:val="4472C4" w:themeColor="accent1"/>
        </w:rPr>
        <w:t>off</w:t>
      </w:r>
      <w:r w:rsidRPr="00AC3E71">
        <w:rPr>
          <w:b/>
          <w:bCs/>
          <w:i/>
          <w:iCs/>
          <w:color w:val="4472C4" w:themeColor="accent1"/>
        </w:rPr>
        <w:t>shore_wind.csv</w:t>
      </w:r>
      <w:r w:rsidRPr="00CE508F">
        <w:t>, obtained with</w:t>
      </w:r>
      <w:r>
        <w:rPr>
          <w:b/>
          <w:bCs/>
          <w:i/>
          <w:iCs/>
          <w:color w:val="FF0000"/>
        </w:rPr>
        <w:t xml:space="preserve"> </w:t>
      </w:r>
      <w:r w:rsidRPr="00AC3E71">
        <w:rPr>
          <w:rStyle w:val="SubtleEmphasis"/>
          <w:b/>
          <w:bCs/>
          <w:color w:val="4472C4" w:themeColor="accent1"/>
        </w:rPr>
        <w:t>jedi_</w:t>
      </w:r>
      <w:r w:rsidR="00C7330A" w:rsidRPr="00AC3E71">
        <w:rPr>
          <w:rStyle w:val="SubtleEmphasis"/>
          <w:b/>
          <w:bCs/>
          <w:color w:val="4472C4" w:themeColor="accent1"/>
        </w:rPr>
        <w:t>off</w:t>
      </w:r>
      <w:r w:rsidRPr="00AC3E71">
        <w:rPr>
          <w:rStyle w:val="SubtleEmphasis"/>
          <w:b/>
          <w:bCs/>
          <w:color w:val="4472C4" w:themeColor="accent1"/>
        </w:rPr>
        <w:t>shore_wind</w:t>
      </w:r>
      <w:r w:rsidRPr="00AC3E71">
        <w:rPr>
          <w:b/>
          <w:bCs/>
          <w:i/>
          <w:iCs/>
          <w:color w:val="4472C4" w:themeColor="accent1"/>
        </w:rPr>
        <w:t>.ipynb</w:t>
      </w:r>
      <w:r w:rsidRPr="0087148A">
        <w:t>.</w:t>
      </w:r>
    </w:p>
    <w:p w14:paraId="6A9DD858" w14:textId="714ECF59" w:rsidR="007F4B97" w:rsidRDefault="007F4B97" w:rsidP="00ED7E60">
      <w:pPr>
        <w:pStyle w:val="Heading3"/>
      </w:pPr>
      <w:bookmarkStart w:id="23" w:name="_Toc178345342"/>
      <w:r>
        <w:t>2.3.</w:t>
      </w:r>
      <w:r w:rsidR="006D6DE2">
        <w:t>7</w:t>
      </w:r>
      <w:r>
        <w:t xml:space="preserve"> Nuclear</w:t>
      </w:r>
      <w:bookmarkEnd w:id="23"/>
    </w:p>
    <w:p w14:paraId="742681F7" w14:textId="208249A1" w:rsidR="009735B5" w:rsidRPr="009735B5" w:rsidRDefault="009735B5" w:rsidP="009735B5">
      <w:r>
        <w:t xml:space="preserve">The </w:t>
      </w:r>
      <w:r w:rsidR="0019741C">
        <w:rPr>
          <w:b/>
          <w:bCs/>
        </w:rPr>
        <w:t>nuclear</w:t>
      </w:r>
      <w:r>
        <w:t xml:space="preserve"> model (</w:t>
      </w:r>
      <w:r w:rsidR="009A1C2F" w:rsidRPr="009A1C2F">
        <w:rPr>
          <w:b/>
          <w:bCs/>
          <w:i/>
          <w:iCs/>
          <w:color w:val="4472C4" w:themeColor="accent1"/>
        </w:rPr>
        <w:t>01d-jedi-nuclear-model-Xie</w:t>
      </w:r>
      <w:r w:rsidRPr="001B7B88">
        <w:rPr>
          <w:b/>
          <w:bCs/>
          <w:i/>
          <w:iCs/>
          <w:color w:val="4472C4" w:themeColor="accent1"/>
        </w:rPr>
        <w:t>.xlsm</w:t>
      </w:r>
      <w:r>
        <w:t xml:space="preserve">) is </w:t>
      </w:r>
      <w:r w:rsidR="00BD0253">
        <w:t>based</w:t>
      </w:r>
      <w:r>
        <w:t xml:space="preserve"> on the JEDI’s coal </w:t>
      </w:r>
      <w:r w:rsidRPr="00E907B3">
        <w:t>model</w:t>
      </w:r>
      <w:r>
        <w:t xml:space="preserve">, </w:t>
      </w:r>
      <w:r w:rsidR="00BD0253">
        <w:t>following Tables S3, S4, and S5 in Xie et al (2023)</w:t>
      </w:r>
      <w:r>
        <w:fldChar w:fldCharType="begin"/>
      </w:r>
      <w:r w:rsidR="00B600CD">
        <w:instrText xml:space="preserve"> ADDIN ZOTERO_ITEM CSL_CITATION {"citationID":"ABQ7MjRs","properties":{"formattedCitation":"\\super 3\\nosupersub{}","plainCitation":"3","noteIndex":0},"citationItems":[{"id":6612,"uris":["http://zotero.org/users/9896081/items/JRZFD5VH"],"itemData":{"id":6612,"type":"article-journal","abstract":"The transition towards a low-carbon power system presents challenges and opportunities for the workforce with important implications for just transitions. Studies of these distributional labour impacts could benefit from tighter linkages between energy and employment modelling. Here, we couple a power-sector optimization model, an employment impact model and demographic databases to understand state-level job characteristics and the societal implications of low-carbon transitions in the US. Although decarbonization brings consistent job growth, it heightens the need for investment in human capital and supply chain restructuring. Major fossil fuel-producing states need to prepare for fewer mining jobs under the US Long-Term Strategy, so other opportunities should be created or seized. The lowest-skilled workers will experience more uncertain employment outcomes. Expanding renewable energy could improve opportunities for women in fossil fuel-dependent states, but not enough to disrupt the national gender status quo. This work provides a new quantitative perspective to inform proactive just transition policies.","container-title":"Nature Climate Change","DOI":"10.1038/s41558-023-01802-5","ISSN":"1758-6798","issue":"11","journalAbbreviation":"Nat. Clim. Chang.","language":"en","license":"2023 The Author(s)","note":"publisher: Nature Publishing Group","page":"1203-1212","source":"www.nature.com","title":"Distributional labour challenges and opportunities for decarbonizing the US power system","volume":"13","author":[{"family":"Xie","given":"Judy Jingwei"},{"family":"Martin","given":"Melissa"},{"family":"Rogelj","given":"Joeri"},{"family":"Staffell","given":"Iain"}],"issued":{"date-parts":[["2023",11]]}}}],"schema":"https://github.com/citation-style-language/schema/raw/master/csl-citation.json"} </w:instrText>
      </w:r>
      <w:r>
        <w:fldChar w:fldCharType="separate"/>
      </w:r>
      <w:r w:rsidRPr="00AA2E08">
        <w:rPr>
          <w:rFonts w:ascii="Calibri" w:hAnsi="Calibri" w:cs="Calibri"/>
          <w:szCs w:val="24"/>
          <w:vertAlign w:val="superscript"/>
        </w:rPr>
        <w:t>3</w:t>
      </w:r>
      <w:r>
        <w:fldChar w:fldCharType="end"/>
      </w:r>
      <w:r>
        <w:t xml:space="preserve">. Output is </w:t>
      </w:r>
      <w:r w:rsidRPr="001B7B88">
        <w:rPr>
          <w:b/>
          <w:bCs/>
          <w:i/>
          <w:iCs/>
          <w:color w:val="4472C4" w:themeColor="accent1"/>
        </w:rPr>
        <w:t>EF/</w:t>
      </w:r>
      <w:r w:rsidR="00F5394F" w:rsidRPr="00F5394F">
        <w:rPr>
          <w:b/>
          <w:bCs/>
          <w:i/>
          <w:iCs/>
          <w:color w:val="4472C4" w:themeColor="accent1"/>
        </w:rPr>
        <w:t>JEDI_nuclear</w:t>
      </w:r>
      <w:r w:rsidRPr="001B7B88">
        <w:rPr>
          <w:b/>
          <w:bCs/>
          <w:i/>
          <w:iCs/>
          <w:color w:val="4472C4" w:themeColor="accent1"/>
        </w:rPr>
        <w:t>.csv</w:t>
      </w:r>
      <w:r>
        <w:t xml:space="preserve">, obtained through </w:t>
      </w:r>
      <w:r w:rsidR="00105C72" w:rsidRPr="00105C72">
        <w:rPr>
          <w:b/>
          <w:bCs/>
          <w:i/>
          <w:iCs/>
          <w:color w:val="4472C4" w:themeColor="accent1"/>
        </w:rPr>
        <w:t>jedi_nuclear</w:t>
      </w:r>
      <w:r w:rsidRPr="001B7B88">
        <w:rPr>
          <w:b/>
          <w:bCs/>
          <w:i/>
          <w:iCs/>
          <w:color w:val="4472C4" w:themeColor="accent1"/>
        </w:rPr>
        <w:t>.ipynb</w:t>
      </w:r>
      <w:r>
        <w:t xml:space="preserve">. </w:t>
      </w:r>
    </w:p>
    <w:p w14:paraId="3FCF9FD0" w14:textId="19F596E7" w:rsidR="006D6DE2" w:rsidRDefault="006D6DE2" w:rsidP="00ED7E60">
      <w:pPr>
        <w:pStyle w:val="Heading3"/>
      </w:pPr>
      <w:bookmarkStart w:id="24" w:name="_Toc178345343"/>
      <w:r>
        <w:t>2.3.8 Hydro</w:t>
      </w:r>
      <w:bookmarkEnd w:id="24"/>
    </w:p>
    <w:p w14:paraId="190E36AB" w14:textId="0420259C" w:rsidR="007229AD" w:rsidRPr="007229AD" w:rsidRDefault="00C57D9E" w:rsidP="007229AD">
      <w:r>
        <w:t xml:space="preserve">The </w:t>
      </w:r>
      <w:r w:rsidR="00940A0E">
        <w:rPr>
          <w:b/>
          <w:bCs/>
        </w:rPr>
        <w:t>hydro</w:t>
      </w:r>
      <w:r>
        <w:t xml:space="preserve"> model is based on the JEDI’s </w:t>
      </w:r>
      <w:r w:rsidR="00940A0E">
        <w:t>conventional hydro</w:t>
      </w:r>
      <w:r>
        <w:t xml:space="preserve"> </w:t>
      </w:r>
      <w:r w:rsidRPr="00E907B3">
        <w:t>model</w:t>
      </w:r>
      <w:r w:rsidR="00C50E5B">
        <w:t xml:space="preserve"> (</w:t>
      </w:r>
      <w:r w:rsidR="00C50E5B" w:rsidRPr="00940A0E">
        <w:rPr>
          <w:b/>
          <w:bCs/>
          <w:i/>
          <w:iCs/>
          <w:color w:val="4472C4" w:themeColor="accent1"/>
        </w:rPr>
        <w:t>01d-jedi-chydro-model-rel-ch12-23-16.xlsm</w:t>
      </w:r>
      <w:r w:rsidR="00C50E5B">
        <w:t>)</w:t>
      </w:r>
      <w:r w:rsidR="00940A0E">
        <w:t xml:space="preserve">. </w:t>
      </w:r>
      <w:r w:rsidR="0025200B">
        <w:t>The Existing</w:t>
      </w:r>
      <w:r w:rsidR="00883DCB" w:rsidRPr="00883DCB">
        <w:t xml:space="preserve"> Plant Expansion/Upgrade</w:t>
      </w:r>
      <w:r w:rsidR="00883DCB">
        <w:t xml:space="preserve"> system is specified in the project data sheet, as in GCAM-USA v7.1, hydropower capacity is assumed to be constant </w:t>
      </w:r>
      <w:r w:rsidR="0025200B">
        <w:t>over time</w:t>
      </w:r>
      <w:r w:rsidR="00883DCB">
        <w:t xml:space="preserve">, with no addition and retirement throughout the model years. </w:t>
      </w:r>
      <w:r>
        <w:t xml:space="preserve">Output is </w:t>
      </w:r>
      <w:r w:rsidRPr="001B7B88">
        <w:rPr>
          <w:b/>
          <w:bCs/>
          <w:i/>
          <w:iCs/>
          <w:color w:val="4472C4" w:themeColor="accent1"/>
        </w:rPr>
        <w:t>EF/</w:t>
      </w:r>
      <w:r w:rsidRPr="00F5394F">
        <w:rPr>
          <w:b/>
          <w:bCs/>
          <w:i/>
          <w:iCs/>
          <w:color w:val="4472C4" w:themeColor="accent1"/>
        </w:rPr>
        <w:t>JEDI_</w:t>
      </w:r>
      <w:r w:rsidR="00E674DC">
        <w:rPr>
          <w:b/>
          <w:bCs/>
          <w:i/>
          <w:iCs/>
          <w:color w:val="4472C4" w:themeColor="accent1"/>
        </w:rPr>
        <w:t>hydro</w:t>
      </w:r>
      <w:r w:rsidRPr="001B7B88">
        <w:rPr>
          <w:b/>
          <w:bCs/>
          <w:i/>
          <w:iCs/>
          <w:color w:val="4472C4" w:themeColor="accent1"/>
        </w:rPr>
        <w:t>.csv</w:t>
      </w:r>
      <w:r>
        <w:t xml:space="preserve">, obtained through </w:t>
      </w:r>
      <w:r w:rsidRPr="00105C72">
        <w:rPr>
          <w:b/>
          <w:bCs/>
          <w:i/>
          <w:iCs/>
          <w:color w:val="4472C4" w:themeColor="accent1"/>
        </w:rPr>
        <w:t>jedi_</w:t>
      </w:r>
      <w:r w:rsidR="00BB6CFE">
        <w:rPr>
          <w:b/>
          <w:bCs/>
          <w:i/>
          <w:iCs/>
          <w:color w:val="4472C4" w:themeColor="accent1"/>
        </w:rPr>
        <w:t>hydro</w:t>
      </w:r>
      <w:r w:rsidRPr="001B7B88">
        <w:rPr>
          <w:b/>
          <w:bCs/>
          <w:i/>
          <w:iCs/>
          <w:color w:val="4472C4" w:themeColor="accent1"/>
        </w:rPr>
        <w:t>.ipynb</w:t>
      </w:r>
      <w:r>
        <w:t xml:space="preserve">. </w:t>
      </w:r>
    </w:p>
    <w:p w14:paraId="5E7B77E9" w14:textId="035AE595" w:rsidR="007F4B97" w:rsidRDefault="007F4B97" w:rsidP="00ED7E60">
      <w:pPr>
        <w:pStyle w:val="Heading3"/>
      </w:pPr>
      <w:bookmarkStart w:id="25" w:name="_Ref177546820"/>
      <w:bookmarkStart w:id="26" w:name="_Toc178345344"/>
      <w:r>
        <w:t>2.3.9 Geothermal</w:t>
      </w:r>
      <w:bookmarkEnd w:id="25"/>
      <w:bookmarkEnd w:id="26"/>
    </w:p>
    <w:p w14:paraId="775231D3" w14:textId="42F3220A" w:rsidR="007F4B97" w:rsidRDefault="00E26DE0" w:rsidP="007F4B97">
      <w:r>
        <w:t xml:space="preserve">The </w:t>
      </w:r>
      <w:r w:rsidR="00D1684C">
        <w:rPr>
          <w:b/>
          <w:bCs/>
        </w:rPr>
        <w:t>geothermal</w:t>
      </w:r>
      <w:r>
        <w:t xml:space="preserve"> model is based on JEDI’s conventional hydro </w:t>
      </w:r>
      <w:r w:rsidRPr="00E907B3">
        <w:t>model</w:t>
      </w:r>
      <w:r>
        <w:t xml:space="preserve"> (</w:t>
      </w:r>
      <w:r w:rsidRPr="00940A0E">
        <w:rPr>
          <w:b/>
          <w:bCs/>
          <w:i/>
          <w:iCs/>
          <w:color w:val="4472C4" w:themeColor="accent1"/>
        </w:rPr>
        <w:t>01d-jedi-chydro-model-rel-ch12-23-16.xlsm</w:t>
      </w:r>
      <w:r>
        <w:t xml:space="preserve">). </w:t>
      </w:r>
      <w:r w:rsidR="0025200B">
        <w:t>The Existing</w:t>
      </w:r>
      <w:r w:rsidRPr="00883DCB">
        <w:t xml:space="preserve"> Plant Expansion/Upgrade</w:t>
      </w:r>
      <w:r>
        <w:t xml:space="preserve"> system is specified in the project data sheet, as in GCAM-USA v7.1, hydropower capacity is assumed to be constant </w:t>
      </w:r>
      <w:r w:rsidR="00FE5F98">
        <w:t>over time</w:t>
      </w:r>
      <w:r>
        <w:t xml:space="preserve">, with no </w:t>
      </w:r>
      <w:r w:rsidR="00257388">
        <w:t xml:space="preserve">capacity </w:t>
      </w:r>
      <w:r>
        <w:t xml:space="preserve">addition and </w:t>
      </w:r>
      <w:r w:rsidR="00257388">
        <w:t xml:space="preserve">capacity </w:t>
      </w:r>
      <w:r>
        <w:t xml:space="preserve">retirement throughout the model years. Output is </w:t>
      </w:r>
      <w:r w:rsidRPr="001B7B88">
        <w:rPr>
          <w:b/>
          <w:bCs/>
          <w:i/>
          <w:iCs/>
          <w:color w:val="4472C4" w:themeColor="accent1"/>
        </w:rPr>
        <w:t>EF/</w:t>
      </w:r>
      <w:r w:rsidRPr="00F5394F">
        <w:rPr>
          <w:b/>
          <w:bCs/>
          <w:i/>
          <w:iCs/>
          <w:color w:val="4472C4" w:themeColor="accent1"/>
        </w:rPr>
        <w:t>JEDI_</w:t>
      </w:r>
      <w:r w:rsidR="00915104">
        <w:rPr>
          <w:b/>
          <w:bCs/>
          <w:i/>
          <w:iCs/>
          <w:color w:val="4472C4" w:themeColor="accent1"/>
        </w:rPr>
        <w:t>geo</w:t>
      </w:r>
      <w:r w:rsidRPr="001B7B88">
        <w:rPr>
          <w:b/>
          <w:bCs/>
          <w:i/>
          <w:iCs/>
          <w:color w:val="4472C4" w:themeColor="accent1"/>
        </w:rPr>
        <w:t>.csv</w:t>
      </w:r>
      <w:r>
        <w:t xml:space="preserve">, obtained through </w:t>
      </w:r>
      <w:r w:rsidRPr="00105C72">
        <w:rPr>
          <w:b/>
          <w:bCs/>
          <w:i/>
          <w:iCs/>
          <w:color w:val="4472C4" w:themeColor="accent1"/>
        </w:rPr>
        <w:t>jedi_</w:t>
      </w:r>
      <w:r w:rsidR="00587A32">
        <w:rPr>
          <w:b/>
          <w:bCs/>
          <w:i/>
          <w:iCs/>
          <w:color w:val="4472C4" w:themeColor="accent1"/>
        </w:rPr>
        <w:t>geo</w:t>
      </w:r>
      <w:r w:rsidRPr="001B7B88">
        <w:rPr>
          <w:b/>
          <w:bCs/>
          <w:i/>
          <w:iCs/>
          <w:color w:val="4472C4" w:themeColor="accent1"/>
        </w:rPr>
        <w:t>.ipynb</w:t>
      </w:r>
      <w:r>
        <w:t xml:space="preserve">. </w:t>
      </w:r>
    </w:p>
    <w:p w14:paraId="0A98107B" w14:textId="5A7C1F5C" w:rsidR="00022CD2" w:rsidRDefault="00022CD2" w:rsidP="00022CD2">
      <w:pPr>
        <w:pStyle w:val="Heading1"/>
      </w:pPr>
      <w:bookmarkStart w:id="27" w:name="_Toc178345345"/>
      <w:r>
        <w:lastRenderedPageBreak/>
        <w:t>3. Processes</w:t>
      </w:r>
      <w:bookmarkEnd w:id="27"/>
      <w:r>
        <w:t xml:space="preserve"> </w:t>
      </w:r>
    </w:p>
    <w:p w14:paraId="2F759EC8" w14:textId="20580BA0" w:rsidR="0025385E" w:rsidRPr="0025385E" w:rsidRDefault="00022CD2" w:rsidP="00AB58CA">
      <w:pPr>
        <w:pStyle w:val="Heading2"/>
      </w:pPr>
      <w:bookmarkStart w:id="28" w:name="_Ref177427178"/>
      <w:bookmarkStart w:id="29" w:name="_Toc178345346"/>
      <w:r>
        <w:t>3.</w:t>
      </w:r>
      <w:r w:rsidR="00AD3AB8">
        <w:t>1</w:t>
      </w:r>
      <w:r>
        <w:t xml:space="preserve"> Power production calculation</w:t>
      </w:r>
      <w:bookmarkEnd w:id="28"/>
      <w:bookmarkEnd w:id="29"/>
      <w:r w:rsidR="00AE52A9">
        <w:t xml:space="preserve"> </w:t>
      </w:r>
    </w:p>
    <w:p w14:paraId="7B502DA4" w14:textId="305BE6B1" w:rsidR="00A33E48" w:rsidRPr="00C741E5" w:rsidRDefault="00A33E48" w:rsidP="00A33E48">
      <w:pPr>
        <w:rPr>
          <w:iCs/>
        </w:rPr>
      </w:pPr>
      <w:r>
        <w:t xml:space="preserve">GCAM-USA provides power generation outcome </w:t>
      </w:r>
      <m:oMath>
        <m:sSubSup>
          <m:sSubSupPr>
            <m:ctrlPr>
              <w:rPr>
                <w:rFonts w:ascii="Cambria Math" w:hAnsi="Cambria Math"/>
                <w:i/>
                <w:iCs/>
              </w:rPr>
            </m:ctrlPr>
          </m:sSubSupPr>
          <m:e>
            <m:r>
              <w:rPr>
                <w:rFonts w:ascii="Cambria Math" w:hAnsi="Cambria Math"/>
              </w:rPr>
              <m:t>EJ</m:t>
            </m:r>
          </m:e>
          <m:sub>
            <m:r>
              <w:rPr>
                <w:rFonts w:ascii="Cambria Math" w:hAnsi="Cambria Math"/>
              </w:rPr>
              <m:t>i=fuel,k=technology,t=year</m:t>
            </m:r>
          </m:sub>
          <m:sup>
            <m:r>
              <w:rPr>
                <w:rFonts w:ascii="Cambria Math" w:hAnsi="Cambria Math"/>
              </w:rPr>
              <m:t>v=vintage</m:t>
            </m:r>
          </m:sup>
        </m:sSubSup>
      </m:oMath>
      <w:r w:rsidRPr="00C741E5">
        <w:rPr>
          <w:iCs/>
        </w:rPr>
        <w:t xml:space="preserve">, </w:t>
      </w:r>
      <w:r>
        <w:rPr>
          <w:iCs/>
        </w:rPr>
        <w:t xml:space="preserve">based on which </w:t>
      </w:r>
      <w:r w:rsidRPr="00C741E5">
        <w:rPr>
          <w:iCs/>
        </w:rPr>
        <w:t xml:space="preserve">we calculate the power generation associated with different </w:t>
      </w:r>
      <w:r>
        <w:rPr>
          <w:iCs/>
        </w:rPr>
        <w:t xml:space="preserve">activities </w:t>
      </w:r>
      <m:oMath>
        <m:sSubSup>
          <m:sSubSupPr>
            <m:ctrlPr>
              <w:rPr>
                <w:rFonts w:ascii="Cambria Math" w:hAnsi="Cambria Math"/>
                <w:i/>
                <w:iCs/>
              </w:rPr>
            </m:ctrlPr>
          </m:sSubSupPr>
          <m:e>
            <m:r>
              <w:rPr>
                <w:rFonts w:ascii="Cambria Math" w:hAnsi="Cambria Math"/>
              </w:rPr>
              <m:t>EJ</m:t>
            </m:r>
          </m:e>
          <m:sub>
            <m:r>
              <w:rPr>
                <w:rFonts w:ascii="Cambria Math" w:hAnsi="Cambria Math"/>
              </w:rPr>
              <m:t>i=fuel,k=technology,t=year</m:t>
            </m:r>
          </m:sub>
          <m:sup>
            <m:r>
              <w:rPr>
                <w:rFonts w:ascii="Cambria Math" w:hAnsi="Cambria Math"/>
              </w:rPr>
              <m:t>v=vintage, a=activity</m:t>
            </m:r>
          </m:sup>
        </m:sSubSup>
      </m:oMath>
      <w:r>
        <w:rPr>
          <w:iCs/>
        </w:rPr>
        <w:t xml:space="preserve">. </w:t>
      </w:r>
    </w:p>
    <w:p w14:paraId="4DF3E536" w14:textId="77777777" w:rsidR="00A33E48" w:rsidRDefault="00A33E48" w:rsidP="00A33E48">
      <w:pPr>
        <w:numPr>
          <w:ilvl w:val="0"/>
          <w:numId w:val="14"/>
        </w:numPr>
        <w:rPr>
          <w:iCs/>
        </w:rPr>
      </w:pPr>
      <w:r w:rsidRPr="00C741E5">
        <w:rPr>
          <w:iCs/>
        </w:rPr>
        <w:t xml:space="preserve">Power generation from </w:t>
      </w:r>
      <w:r>
        <w:rPr>
          <w:iCs/>
        </w:rPr>
        <w:t xml:space="preserve">operational </w:t>
      </w:r>
      <w:r w:rsidRPr="00C741E5">
        <w:rPr>
          <w:iCs/>
        </w:rPr>
        <w:t xml:space="preserve">capacity: </w:t>
      </w:r>
      <m:oMath>
        <m:sSubSup>
          <m:sSubSupPr>
            <m:ctrlPr>
              <w:rPr>
                <w:rFonts w:ascii="Cambria Math" w:hAnsi="Cambria Math"/>
                <w:i/>
                <w:iCs/>
              </w:rPr>
            </m:ctrlPr>
          </m:sSubSupPr>
          <m:e>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v,op</m:t>
                </m:r>
              </m:sup>
            </m:sSubSup>
            <m:r>
              <w:rPr>
                <w:rFonts w:ascii="Cambria Math" w:hAnsi="Cambria Math"/>
              </w:rPr>
              <m:t>=EJ</m:t>
            </m:r>
          </m:e>
          <m:sub>
            <m:r>
              <w:rPr>
                <w:rFonts w:ascii="Cambria Math" w:hAnsi="Cambria Math"/>
              </w:rPr>
              <m:t>i,k,t</m:t>
            </m:r>
          </m:sub>
          <m:sup>
            <m:r>
              <w:rPr>
                <w:rFonts w:ascii="Cambria Math" w:hAnsi="Cambria Math"/>
              </w:rPr>
              <m:t>v</m:t>
            </m:r>
          </m:sup>
        </m:sSubSup>
      </m:oMath>
    </w:p>
    <w:p w14:paraId="20AD338B" w14:textId="167B805B" w:rsidR="00A33E48" w:rsidRPr="00830A2A" w:rsidRDefault="004C1297" w:rsidP="00A33E48">
      <w:pPr>
        <w:numPr>
          <w:ilvl w:val="0"/>
          <w:numId w:val="14"/>
        </w:numPr>
        <w:rPr>
          <w:iCs/>
        </w:rPr>
      </w:pPr>
      <w:r>
        <w:rPr>
          <w:iCs/>
        </w:rPr>
        <w:t>Maximum p</w:t>
      </w:r>
      <w:r w:rsidR="00A33E48" w:rsidRPr="00C741E5">
        <w:rPr>
          <w:iCs/>
        </w:rPr>
        <w:t>ower generation</w:t>
      </w:r>
      <w:r>
        <w:rPr>
          <w:iCs/>
        </w:rPr>
        <w:t xml:space="preserve"> potential</w:t>
      </w:r>
      <w:r w:rsidR="00A33E48" w:rsidRPr="00C741E5">
        <w:rPr>
          <w:iCs/>
        </w:rPr>
        <w:t xml:space="preserve"> from </w:t>
      </w:r>
      <w:r w:rsidR="00A33E48">
        <w:rPr>
          <w:iCs/>
        </w:rPr>
        <w:t xml:space="preserve">installed </w:t>
      </w:r>
      <w:r w:rsidR="00A33E48" w:rsidRPr="00C741E5">
        <w:rPr>
          <w:iCs/>
        </w:rPr>
        <w:t xml:space="preserve">capacity: </w:t>
      </w:r>
      <m:oMath>
        <m:func>
          <m:funcPr>
            <m:ctrlPr>
              <w:rPr>
                <w:rFonts w:ascii="Cambria Math" w:hAnsi="Cambria Math"/>
                <w:i/>
              </w:rPr>
            </m:ctrlPr>
          </m:funcPr>
          <m:fName>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v,in</m:t>
                </m:r>
              </m:sup>
            </m:sSubSup>
            <m:r>
              <w:rPr>
                <w:rFonts w:ascii="Cambria Math" w:hAnsi="Cambria Math"/>
              </w:rPr>
              <m:t>=</m:t>
            </m:r>
            <m:limLow>
              <m:limLowPr>
                <m:ctrlPr>
                  <w:rPr>
                    <w:rFonts w:ascii="Cambria Math" w:hAnsi="Cambria Math"/>
                    <w:i/>
                  </w:rPr>
                </m:ctrlPr>
              </m:limLowPr>
              <m:e>
                <m:r>
                  <m:rPr>
                    <m:sty m:val="p"/>
                  </m:rPr>
                  <w:rPr>
                    <w:rFonts w:ascii="Cambria Math" w:hAnsi="Cambria Math"/>
                  </w:rPr>
                  <m:t>max</m:t>
                </m:r>
              </m:e>
              <m:lim>
                <m:r>
                  <w:rPr>
                    <w:rFonts w:ascii="Cambria Math" w:hAnsi="Cambria Math"/>
                  </w:rPr>
                  <m:t>T≥t</m:t>
                </m:r>
              </m:lim>
            </m:limLow>
          </m:fName>
          <m:e>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m:t>
                </m:r>
              </m:sup>
            </m:sSubSup>
          </m:e>
        </m:func>
      </m:oMath>
    </w:p>
    <w:p w14:paraId="2F9F16B1" w14:textId="77777777" w:rsidR="00A33E48" w:rsidRPr="00C741E5" w:rsidRDefault="00A33E48" w:rsidP="00A33E48">
      <w:pPr>
        <w:numPr>
          <w:ilvl w:val="0"/>
          <w:numId w:val="14"/>
        </w:numPr>
        <w:rPr>
          <w:iCs/>
        </w:rPr>
      </w:pPr>
      <w:r w:rsidRPr="00C741E5">
        <w:rPr>
          <w:iCs/>
        </w:rPr>
        <w:t xml:space="preserve">Power generation from newly installed capacity: </w:t>
      </w:r>
      <m:oMath>
        <m:sSubSup>
          <m:sSubSupPr>
            <m:ctrlPr>
              <w:rPr>
                <w:rFonts w:ascii="Cambria Math" w:hAnsi="Cambria Math"/>
                <w:i/>
                <w:iCs/>
              </w:rPr>
            </m:ctrlPr>
          </m:sSubSupPr>
          <m:e>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v,add</m:t>
                </m:r>
              </m:sup>
            </m:sSubSup>
            <m:r>
              <w:rPr>
                <w:rFonts w:ascii="Cambria Math" w:hAnsi="Cambria Math"/>
              </w:rPr>
              <m:t>=EJ</m:t>
            </m:r>
          </m:e>
          <m:sub>
            <m:r>
              <w:rPr>
                <w:rFonts w:ascii="Cambria Math" w:hAnsi="Cambria Math"/>
              </w:rPr>
              <m:t>i,k,t</m:t>
            </m:r>
          </m:sub>
          <m:sup>
            <m:r>
              <w:rPr>
                <w:rFonts w:ascii="Cambria Math" w:hAnsi="Cambria Math"/>
              </w:rPr>
              <m:t>v=t</m:t>
            </m:r>
          </m:sup>
        </m:sSubSup>
      </m:oMath>
    </w:p>
    <w:p w14:paraId="05364AD0" w14:textId="77777777" w:rsidR="00A33E48" w:rsidRPr="00A81A35" w:rsidRDefault="00A33E48" w:rsidP="00A33E48">
      <w:pPr>
        <w:numPr>
          <w:ilvl w:val="0"/>
          <w:numId w:val="14"/>
        </w:numPr>
      </w:pPr>
      <w:r w:rsidRPr="00C741E5">
        <w:rPr>
          <w:iCs/>
        </w:rPr>
        <w:t xml:space="preserve">Power generation loss from retired capacity: </w:t>
      </w:r>
      <m:oMath>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v,ret</m:t>
            </m:r>
          </m:sup>
        </m:sSubSup>
        <m:r>
          <w:rPr>
            <w:rFonts w:ascii="Cambria Math" w:hAnsi="Cambria Math"/>
          </w:rPr>
          <m:t>=</m:t>
        </m:r>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v,in</m:t>
            </m:r>
          </m:sup>
        </m:sSubSup>
        <m:r>
          <w:rPr>
            <w:rFonts w:ascii="Cambria Math" w:hAnsi="Cambria Math"/>
          </w:rPr>
          <m:t>-</m:t>
        </m:r>
        <m:sSubSup>
          <m:sSubSupPr>
            <m:ctrlPr>
              <w:rPr>
                <w:rFonts w:ascii="Cambria Math" w:hAnsi="Cambria Math"/>
                <w:i/>
                <w:iCs/>
              </w:rPr>
            </m:ctrlPr>
          </m:sSubSupPr>
          <m:e>
            <m:r>
              <w:rPr>
                <w:rFonts w:ascii="Cambria Math" w:hAnsi="Cambria Math"/>
              </w:rPr>
              <m:t>EJ</m:t>
            </m:r>
          </m:e>
          <m:sub>
            <m:r>
              <w:rPr>
                <w:rFonts w:ascii="Cambria Math" w:hAnsi="Cambria Math"/>
              </w:rPr>
              <m:t>i,k,t-1</m:t>
            </m:r>
          </m:sub>
          <m:sup>
            <m:r>
              <w:rPr>
                <w:rFonts w:ascii="Cambria Math" w:hAnsi="Cambria Math"/>
              </w:rPr>
              <m:t>v,in</m:t>
            </m:r>
          </m:sup>
        </m:sSubSup>
      </m:oMath>
    </w:p>
    <w:p w14:paraId="3227F650" w14:textId="6B475A39" w:rsidR="00F850F1" w:rsidRDefault="003C2AD1" w:rsidP="008E3B21">
      <w:r>
        <w:t xml:space="preserve">The observed </w:t>
      </w:r>
      <m:oMath>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m:t>
            </m:r>
          </m:sup>
        </m:sSubSup>
      </m:oMath>
      <w:r>
        <w:rPr>
          <w:iCs/>
        </w:rPr>
        <w:t xml:space="preserve"> is the power generation</w:t>
      </w:r>
      <w:r w:rsidR="00B32915">
        <w:rPr>
          <w:iCs/>
        </w:rPr>
        <w:t xml:space="preserve"> </w:t>
      </w:r>
      <m:oMath>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v,op</m:t>
            </m:r>
          </m:sup>
        </m:sSubSup>
      </m:oMath>
      <w:r>
        <w:rPr>
          <w:iCs/>
        </w:rPr>
        <w:t xml:space="preserve"> from the</w:t>
      </w:r>
      <w:r w:rsidR="00BD28BE">
        <w:rPr>
          <w:iCs/>
        </w:rPr>
        <w:t xml:space="preserve"> operational</w:t>
      </w:r>
      <w:r>
        <w:rPr>
          <w:iCs/>
        </w:rPr>
        <w:t xml:space="preserve"> capacity </w:t>
      </w:r>
      <w:r w:rsidR="00303D20">
        <w:rPr>
          <w:iCs/>
        </w:rPr>
        <w:t xml:space="preserve">in year t, </w:t>
      </w:r>
      <w:r w:rsidR="00F303A7">
        <w:rPr>
          <w:iCs/>
        </w:rPr>
        <w:t>for</w:t>
      </w:r>
      <w:r w:rsidR="00303D20">
        <w:rPr>
          <w:iCs/>
        </w:rPr>
        <w:t xml:space="preserve"> fuel i, technology k</w:t>
      </w:r>
      <w:r w:rsidR="00E876F8">
        <w:rPr>
          <w:iCs/>
        </w:rPr>
        <w:t>,</w:t>
      </w:r>
      <w:r w:rsidR="00303D20">
        <w:rPr>
          <w:iCs/>
        </w:rPr>
        <w:t xml:space="preserve"> and vintage v.</w:t>
      </w:r>
      <w:r w:rsidR="001131E3">
        <w:rPr>
          <w:iCs/>
        </w:rPr>
        <w:t xml:space="preserve"> </w:t>
      </w:r>
      <w:r w:rsidR="00163E65">
        <w:t xml:space="preserve">We calculate the power generation potential (i.e., generation possible with installed capacity) in period t, </w:t>
      </w:r>
      <m:oMath>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v,in</m:t>
            </m:r>
          </m:sup>
        </m:sSubSup>
      </m:oMath>
      <w:r w:rsidR="00163E65">
        <w:rPr>
          <w:iCs/>
        </w:rPr>
        <w:t xml:space="preserve">, as the maximum of </w:t>
      </w:r>
      <m:oMath>
        <m:sSubSup>
          <m:sSubSupPr>
            <m:ctrlPr>
              <w:rPr>
                <w:rFonts w:ascii="Cambria Math" w:hAnsi="Cambria Math"/>
                <w:i/>
                <w:iCs/>
              </w:rPr>
            </m:ctrlPr>
          </m:sSubSupPr>
          <m:e>
            <m:r>
              <w:rPr>
                <w:rFonts w:ascii="Cambria Math" w:hAnsi="Cambria Math"/>
              </w:rPr>
              <m:t>EJ</m:t>
            </m:r>
          </m:e>
          <m:sub>
            <m:r>
              <w:rPr>
                <w:rFonts w:ascii="Cambria Math" w:hAnsi="Cambria Math"/>
              </w:rPr>
              <m:t>i,k</m:t>
            </m:r>
          </m:sub>
          <m:sup>
            <m:r>
              <w:rPr>
                <w:rFonts w:ascii="Cambria Math" w:hAnsi="Cambria Math"/>
              </w:rPr>
              <m:t>v,op</m:t>
            </m:r>
          </m:sup>
        </m:sSubSup>
      </m:oMath>
      <w:r w:rsidR="00163E65">
        <w:rPr>
          <w:iCs/>
        </w:rPr>
        <w:t xml:space="preserve"> in all future periods forwards, i.e., </w:t>
      </w:r>
      <m:oMath>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v,in</m:t>
            </m:r>
          </m:sup>
        </m:sSubSup>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max</m:t>
                </m:r>
              </m:e>
              <m:lim>
                <m:r>
                  <w:rPr>
                    <w:rFonts w:ascii="Cambria Math" w:hAnsi="Cambria Math"/>
                  </w:rPr>
                  <m:t>T≥t</m:t>
                </m:r>
              </m:lim>
            </m:limLow>
          </m:fName>
          <m:e>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v,op</m:t>
                </m:r>
              </m:sup>
            </m:sSubSup>
          </m:e>
        </m:func>
      </m:oMath>
      <w:r w:rsidR="00163E65">
        <w:t xml:space="preserve">. </w:t>
      </w:r>
      <w:r w:rsidR="00F850F1">
        <w:t>For example, the figure below presents the power generation of operational capacity and installed capacity for a specific gas technology for vintage 2020 over time.</w:t>
      </w:r>
    </w:p>
    <w:p w14:paraId="1B9D7793" w14:textId="2423774D" w:rsidR="00F850F1" w:rsidRDefault="00665022" w:rsidP="008E3B21">
      <w:r>
        <w:rPr>
          <w:noProof/>
        </w:rPr>
        <w:drawing>
          <wp:inline distT="0" distB="0" distL="0" distR="0" wp14:anchorId="15B1CBD7" wp14:editId="6C8ABC6D">
            <wp:extent cx="5811612" cy="3526325"/>
            <wp:effectExtent l="0" t="0" r="0" b="0"/>
            <wp:docPr id="474123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8755" cy="3530659"/>
                    </a:xfrm>
                    <a:prstGeom prst="rect">
                      <a:avLst/>
                    </a:prstGeom>
                    <a:noFill/>
                  </pic:spPr>
                </pic:pic>
              </a:graphicData>
            </a:graphic>
          </wp:inline>
        </w:drawing>
      </w:r>
    </w:p>
    <w:p w14:paraId="377B2159" w14:textId="4780C590" w:rsidR="008E3B21" w:rsidRDefault="008E3B21" w:rsidP="008E3B21">
      <w:pPr>
        <w:rPr>
          <w:iCs/>
          <w:color w:val="000000" w:themeColor="text1"/>
        </w:rPr>
      </w:pPr>
      <w:r w:rsidRPr="00117813">
        <w:t xml:space="preserve">Power generation of </w:t>
      </w:r>
      <w:r>
        <w:t>the newly installed capacity is</w:t>
      </w:r>
      <w:r>
        <w:rPr>
          <w:rFonts w:asciiTheme="majorHAnsi" w:eastAsiaTheme="majorEastAsia" w:hAnsiTheme="majorHAnsi" w:cstheme="majorBidi"/>
          <w:iCs/>
        </w:rPr>
        <w:t xml:space="preserve"> </w:t>
      </w:r>
      <m:oMath>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v,add</m:t>
            </m:r>
          </m:sup>
        </m:sSubSup>
        <m:r>
          <w:rPr>
            <w:rFonts w:ascii="Cambria Math" w:hAnsi="Cambria Math"/>
          </w:rPr>
          <m:t>=</m:t>
        </m:r>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v=t</m:t>
            </m:r>
          </m:sup>
        </m:sSubSup>
      </m:oMath>
      <w:r>
        <w:rPr>
          <w:iCs/>
        </w:rPr>
        <w:t xml:space="preserve">. </w:t>
      </w:r>
      <w:r w:rsidRPr="0019777A">
        <w:t xml:space="preserve">The inter-period difference in the power generation </w:t>
      </w:r>
      <w:r>
        <w:t>of</w:t>
      </w:r>
      <w:r w:rsidRPr="0019777A">
        <w:t xml:space="preserve"> </w:t>
      </w:r>
      <w:r>
        <w:t xml:space="preserve">installed capacity by </w:t>
      </w:r>
      <w:r w:rsidRPr="0019777A">
        <w:t>vintage</w:t>
      </w:r>
      <w:r>
        <w:rPr>
          <w:rFonts w:asciiTheme="majorHAnsi" w:eastAsiaTheme="majorEastAsia" w:hAnsiTheme="majorHAnsi" w:cstheme="majorBidi"/>
          <w:iCs/>
          <w:color w:val="000000" w:themeColor="text1"/>
        </w:rPr>
        <w:t xml:space="preserve"> </w:t>
      </w:r>
      <m:oMath>
        <m:sSubSup>
          <m:sSubSupPr>
            <m:ctrlPr>
              <w:rPr>
                <w:rFonts w:ascii="Cambria Math" w:hAnsi="Cambria Math"/>
                <w:i/>
                <w:iCs/>
                <w:color w:val="000000" w:themeColor="text1"/>
              </w:rPr>
            </m:ctrlPr>
          </m:sSubSupPr>
          <m:e>
            <m:r>
              <w:rPr>
                <w:rFonts w:ascii="Cambria Math" w:hAnsi="Cambria Math"/>
                <w:color w:val="000000" w:themeColor="text1"/>
              </w:rPr>
              <m:t>EJ</m:t>
            </m:r>
          </m:e>
          <m:sub>
            <m:r>
              <w:rPr>
                <w:rFonts w:ascii="Cambria Math" w:hAnsi="Cambria Math"/>
                <w:color w:val="000000" w:themeColor="text1"/>
              </w:rPr>
              <m:t>i,k,t</m:t>
            </m:r>
          </m:sub>
          <m:sup>
            <m:r>
              <w:rPr>
                <w:rFonts w:ascii="Cambria Math" w:hAnsi="Cambria Math"/>
                <w:color w:val="000000" w:themeColor="text1"/>
              </w:rPr>
              <m:t>v,in</m:t>
            </m:r>
          </m:sup>
        </m:sSubSup>
        <m:r>
          <w:rPr>
            <w:rFonts w:ascii="Cambria Math" w:hAnsi="Cambria Math"/>
            <w:color w:val="000000" w:themeColor="text1"/>
          </w:rPr>
          <m:t>-</m:t>
        </m:r>
        <m:sSubSup>
          <m:sSubSupPr>
            <m:ctrlPr>
              <w:rPr>
                <w:rFonts w:ascii="Cambria Math" w:hAnsi="Cambria Math"/>
                <w:i/>
                <w:iCs/>
                <w:color w:val="000000" w:themeColor="text1"/>
              </w:rPr>
            </m:ctrlPr>
          </m:sSubSupPr>
          <m:e>
            <m:r>
              <w:rPr>
                <w:rFonts w:ascii="Cambria Math" w:hAnsi="Cambria Math"/>
                <w:color w:val="000000" w:themeColor="text1"/>
              </w:rPr>
              <m:t>EJ</m:t>
            </m:r>
          </m:e>
          <m:sub>
            <m:r>
              <w:rPr>
                <w:rFonts w:ascii="Cambria Math" w:hAnsi="Cambria Math"/>
                <w:color w:val="000000" w:themeColor="text1"/>
              </w:rPr>
              <m:t>i,k,t-1</m:t>
            </m:r>
          </m:sub>
          <m:sup>
            <m:r>
              <w:rPr>
                <w:rFonts w:ascii="Cambria Math" w:hAnsi="Cambria Math"/>
                <w:color w:val="000000" w:themeColor="text1"/>
              </w:rPr>
              <m:t>v,in</m:t>
            </m:r>
          </m:sup>
        </m:sSubSup>
      </m:oMath>
      <w:r>
        <w:rPr>
          <w:iCs/>
          <w:color w:val="000000" w:themeColor="text1"/>
        </w:rPr>
        <w:t xml:space="preserve"> denotes the power generation loss due to capacity retirement. </w:t>
      </w:r>
    </w:p>
    <w:p w14:paraId="328978CF" w14:textId="405DAA57" w:rsidR="00037988" w:rsidRPr="008A3BB9" w:rsidRDefault="00BC4DAC" w:rsidP="00D45A78">
      <w:pPr>
        <w:rPr>
          <w:iCs/>
          <w:color w:val="000000" w:themeColor="text1"/>
        </w:rPr>
      </w:pPr>
      <w:r>
        <w:rPr>
          <w:iCs/>
        </w:rPr>
        <w:lastRenderedPageBreak/>
        <w:t>While most fuel</w:t>
      </w:r>
      <w:r w:rsidR="00217822">
        <w:rPr>
          <w:iCs/>
        </w:rPr>
        <w:t>s</w:t>
      </w:r>
      <w:r>
        <w:rPr>
          <w:iCs/>
        </w:rPr>
        <w:t xml:space="preserve"> and technolog</w:t>
      </w:r>
      <w:r w:rsidR="00217822">
        <w:rPr>
          <w:iCs/>
        </w:rPr>
        <w:t>ies</w:t>
      </w:r>
      <w:r>
        <w:rPr>
          <w:iCs/>
        </w:rPr>
        <w:t xml:space="preserve"> can </w:t>
      </w:r>
      <w:r>
        <w:t>use</w:t>
      </w:r>
      <w:r w:rsidRPr="00B52074">
        <w:t xml:space="preserve"> the query</w:t>
      </w:r>
      <w:r>
        <w:rPr>
          <w:b/>
          <w:bCs/>
          <w:i/>
          <w:iCs/>
          <w:color w:val="000000" w:themeColor="text1"/>
        </w:rPr>
        <w:t xml:space="preserve"> ”</w:t>
      </w:r>
      <w:r w:rsidRPr="00A766E4">
        <w:rPr>
          <w:b/>
          <w:bCs/>
          <w:i/>
          <w:iCs/>
          <w:color w:val="000000" w:themeColor="text1"/>
        </w:rPr>
        <w:t>elec gen by gen tech and cooling tech (incl cogen)</w:t>
      </w:r>
      <w:r>
        <w:rPr>
          <w:b/>
          <w:bCs/>
          <w:i/>
          <w:iCs/>
          <w:color w:val="000000" w:themeColor="text1"/>
        </w:rPr>
        <w:t xml:space="preserve">” </w:t>
      </w:r>
      <w:r w:rsidRPr="00B52074">
        <w:rPr>
          <w:color w:val="000000" w:themeColor="text1"/>
        </w:rPr>
        <w:t>to obtain</w:t>
      </w:r>
      <w:r>
        <w:rPr>
          <w:color w:val="000000" w:themeColor="text1"/>
        </w:rPr>
        <w:t xml:space="preserve"> the</w:t>
      </w:r>
      <w:r w:rsidR="008C0A00">
        <w:rPr>
          <w:color w:val="000000" w:themeColor="text1"/>
        </w:rPr>
        <w:t xml:space="preserve"> </w:t>
      </w:r>
      <m:oMath>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m:t>
            </m:r>
          </m:sup>
        </m:sSubSup>
      </m:oMath>
      <w:r w:rsidR="009551A5">
        <w:rPr>
          <w:color w:val="000000" w:themeColor="text1"/>
        </w:rPr>
        <w:t xml:space="preserve">, </w:t>
      </w:r>
      <w:r w:rsidR="00EE2B2F">
        <w:rPr>
          <w:color w:val="000000" w:themeColor="text1"/>
        </w:rPr>
        <w:t>wind and solar power need extra caution.</w:t>
      </w:r>
      <w:r w:rsidR="008A3BB9">
        <w:rPr>
          <w:iCs/>
          <w:color w:val="000000" w:themeColor="text1"/>
        </w:rPr>
        <w:t xml:space="preserve"> </w:t>
      </w:r>
      <w:r w:rsidR="00037988">
        <w:t xml:space="preserve">Wind and solar require backup power </w:t>
      </w:r>
      <w:r w:rsidR="00217822">
        <w:t xml:space="preserve">in GCAM USA v7.1 </w:t>
      </w:r>
      <w:r w:rsidR="00037988">
        <w:t xml:space="preserve">because their energy generation is intermittent, depending on weather conditions and daylight. Backup power </w:t>
      </w:r>
      <w:r w:rsidR="00E06E86">
        <w:t xml:space="preserve">is meant to </w:t>
      </w:r>
      <w:r w:rsidR="00037988">
        <w:t>ensure a stable electricity supply when wind or sunlight is insufficient.</w:t>
      </w:r>
      <w:r w:rsidR="00A7492C">
        <w:t xml:space="preserve"> </w:t>
      </w:r>
      <w:r w:rsidR="00926F73">
        <w:t xml:space="preserve">As </w:t>
      </w:r>
      <w:r w:rsidR="00EE2B2F">
        <w:t xml:space="preserve">backup </w:t>
      </w:r>
      <w:r w:rsidR="003D177E">
        <w:t>power</w:t>
      </w:r>
      <w:r w:rsidR="00926F73">
        <w:t xml:space="preserve"> is not generated by wind and solar capacities</w:t>
      </w:r>
      <w:r w:rsidR="00E3111A">
        <w:t xml:space="preserve"> themselves</w:t>
      </w:r>
      <w:r w:rsidR="00926F73">
        <w:t xml:space="preserve">, </w:t>
      </w:r>
      <w:r w:rsidR="00205E75">
        <w:t>it is</w:t>
      </w:r>
      <w:r w:rsidR="00926F73">
        <w:t xml:space="preserve"> exclude</w:t>
      </w:r>
      <w:r w:rsidR="00205E75">
        <w:t>d</w:t>
      </w:r>
      <w:r w:rsidR="00926F73">
        <w:t xml:space="preserve"> from the </w:t>
      </w:r>
      <w:r w:rsidR="003E1AC7">
        <w:t xml:space="preserve">capacity and job </w:t>
      </w:r>
      <w:r w:rsidR="00926F73">
        <w:t xml:space="preserve">calculation for wind </w:t>
      </w:r>
      <w:r w:rsidR="003E1AC7">
        <w:t xml:space="preserve">power </w:t>
      </w:r>
      <w:r w:rsidR="00926F73">
        <w:t>and solar</w:t>
      </w:r>
      <w:r w:rsidR="003E1AC7">
        <w:t xml:space="preserve"> power</w:t>
      </w:r>
      <w:r w:rsidR="00926F73">
        <w:t>.</w:t>
      </w:r>
    </w:p>
    <w:p w14:paraId="08499920" w14:textId="1CC59D2B" w:rsidR="00CE763F" w:rsidRDefault="00CE763F" w:rsidP="00D45A78">
      <w:r w:rsidRPr="00CE763F">
        <w:t xml:space="preserve">The query </w:t>
      </w:r>
      <w:r w:rsidRPr="00216583">
        <w:rPr>
          <w:b/>
          <w:bCs/>
          <w:i/>
          <w:iCs/>
        </w:rPr>
        <w:t>“elec energy input by elec gen tech”</w:t>
      </w:r>
      <w:r w:rsidRPr="00CE763F">
        <w:t xml:space="preserve"> provides the input</w:t>
      </w:r>
      <w:r w:rsidR="00217822">
        <w:t>s</w:t>
      </w:r>
      <w:r w:rsidRPr="00CE763F">
        <w:t xml:space="preserve"> for wind and solar</w:t>
      </w:r>
      <w:r w:rsidR="00E56CE0">
        <w:t xml:space="preserve"> power</w:t>
      </w:r>
      <w:r w:rsidRPr="00CE763F">
        <w:t>, including “distributed_solar,” “PV_resource,” “onshore wind resource,” “offshore wind resource,” “CSP_resource,” “csp_backup,” and “backup electricity.” In GCAM-USA v7.1, the input-output ratio is 1:1 for wind and solar technologies, so aggregat</w:t>
      </w:r>
      <w:r w:rsidR="00217822">
        <w:t>ing</w:t>
      </w:r>
      <w:r w:rsidRPr="00CE763F">
        <w:t xml:space="preserve"> energy input levels, excluding “backup electricity,” provide</w:t>
      </w:r>
      <w:r w:rsidR="00217822">
        <w:t>s</w:t>
      </w:r>
      <w:r w:rsidRPr="00CE763F">
        <w:t xml:space="preserve"> accurate wind and solar power generation levels</w:t>
      </w:r>
      <w:r w:rsidR="00217822">
        <w:t>; these are the generation levels used to calculate wind and solar capacity in this package</w:t>
      </w:r>
      <w:r w:rsidRPr="00CE763F">
        <w:t>. Note that “csp_backup” is treated differently from “backup_electricity.” The former is a combustion turbine within the CSP facility, so electricity generated with “csp_backup” input is considered solar power.</w:t>
      </w:r>
    </w:p>
    <w:p w14:paraId="3D47A221" w14:textId="698038BE" w:rsidR="00ED3361" w:rsidRDefault="00ED3361" w:rsidP="00D45A78">
      <w:r w:rsidRPr="00ED3361">
        <w:t xml:space="preserve">Rooftop PV in GCAM-USA is not currently vintaged, requiring post-processing to establish the vintage structure based on observed power output and retirement assumptions. Refer to </w:t>
      </w:r>
      <w:hyperlink r:id="rId20" w:history="1">
        <w:r w:rsidR="003868E7" w:rsidRPr="00C56361">
          <w:rPr>
            <w:rStyle w:val="Hyperlink"/>
          </w:rPr>
          <w:t>https://github.com/JGCRI/GCAMUSAJobs/blob/paper/docs/tutorials/vintage.xlsx</w:t>
        </w:r>
      </w:hyperlink>
      <w:r w:rsidR="003868E7">
        <w:t xml:space="preserve"> </w:t>
      </w:r>
      <w:r w:rsidRPr="00ED3361">
        <w:t>for</w:t>
      </w:r>
      <w:r w:rsidR="00521EFF">
        <w:t xml:space="preserve"> an example</w:t>
      </w:r>
      <w:r w:rsidRPr="00ED3361">
        <w:t>.</w:t>
      </w:r>
    </w:p>
    <w:p w14:paraId="44F24EA6" w14:textId="58BDB18B" w:rsidR="00FA6723" w:rsidRPr="00BB4785" w:rsidRDefault="00022CD2" w:rsidP="00BB4785">
      <w:pPr>
        <w:pStyle w:val="Heading2"/>
      </w:pPr>
      <w:bookmarkStart w:id="30" w:name="_Toc178345347"/>
      <w:r>
        <w:t>3.</w:t>
      </w:r>
      <w:r w:rsidR="004527CE">
        <w:t>2</w:t>
      </w:r>
      <w:r>
        <w:t xml:space="preserve"> Capacity activity calculation</w:t>
      </w:r>
      <w:bookmarkEnd w:id="30"/>
    </w:p>
    <w:p w14:paraId="0349E8EF" w14:textId="4420C47F" w:rsidR="00876278" w:rsidRPr="00876278" w:rsidRDefault="006A7C92" w:rsidP="00876278">
      <w:pPr>
        <w:rPr>
          <w:iCs/>
        </w:rPr>
      </w:pPr>
      <w:r>
        <w:rPr>
          <w:iCs/>
        </w:rPr>
        <w:t xml:space="preserve">Since GCAM-USA does not track capacity information directly, </w:t>
      </w:r>
      <w:r w:rsidR="00876278">
        <w:t xml:space="preserve">we can derive the capacity level for different activities based on </w:t>
      </w:r>
      <w:r>
        <w:rPr>
          <w:iCs/>
        </w:rPr>
        <w:t>power generation outcomes</w:t>
      </w:r>
      <w:r w:rsidR="00876278">
        <w:rPr>
          <w:iCs/>
        </w:rPr>
        <w:t xml:space="preserve"> by activities and </w:t>
      </w:r>
      <w:r w:rsidR="00876278">
        <w:t xml:space="preserve">the capacity factor </w:t>
      </w:r>
      <m:oMath>
        <m:sSub>
          <m:sSubPr>
            <m:ctrlPr>
              <w:rPr>
                <w:rFonts w:ascii="Cambria Math" w:hAnsi="Cambria Math"/>
                <w:i/>
                <w:iCs/>
              </w:rPr>
            </m:ctrlPr>
          </m:sSubPr>
          <m:e>
            <m:r>
              <w:rPr>
                <w:rFonts w:ascii="Cambria Math" w:hAnsi="Cambria Math"/>
              </w:rPr>
              <m:t>CF</m:t>
            </m:r>
          </m:e>
          <m:sub>
            <m:r>
              <w:rPr>
                <w:rFonts w:ascii="Cambria Math" w:hAnsi="Cambria Math"/>
              </w:rPr>
              <m:t>i,k</m:t>
            </m:r>
          </m:sub>
        </m:sSub>
      </m:oMath>
      <w:r w:rsidR="00132671">
        <w:t>:</w:t>
      </w:r>
      <w:r w:rsidR="00876278">
        <w:t xml:space="preserve"> </w:t>
      </w:r>
    </w:p>
    <w:p w14:paraId="4579BEAA" w14:textId="77777777" w:rsidR="00876278" w:rsidRPr="00E72878" w:rsidRDefault="00876278" w:rsidP="00876278">
      <w:pPr>
        <w:pStyle w:val="ListParagraph"/>
        <w:numPr>
          <w:ilvl w:val="0"/>
          <w:numId w:val="16"/>
        </w:numPr>
      </w:pPr>
      <w:r>
        <w:t xml:space="preserve">Operational capacity: </w:t>
      </w:r>
      <m:oMath>
        <m:sSubSup>
          <m:sSubSupPr>
            <m:ctrlPr>
              <w:rPr>
                <w:rFonts w:ascii="Cambria Math" w:hAnsi="Cambria Math"/>
                <w:i/>
                <w:iCs/>
              </w:rPr>
            </m:ctrlPr>
          </m:sSubSupPr>
          <m:e>
            <m:r>
              <w:rPr>
                <w:rFonts w:ascii="Cambria Math" w:hAnsi="Cambria Math"/>
              </w:rPr>
              <m:t>GW</m:t>
            </m:r>
          </m:e>
          <m:sub>
            <m:r>
              <w:rPr>
                <w:rFonts w:ascii="Cambria Math" w:hAnsi="Cambria Math"/>
              </w:rPr>
              <m:t>i,k,t</m:t>
            </m:r>
          </m:sub>
          <m:sup>
            <m:r>
              <w:rPr>
                <w:rFonts w:ascii="Cambria Math" w:hAnsi="Cambria Math"/>
              </w:rPr>
              <m:t>v,op</m:t>
            </m:r>
          </m:sup>
        </m:sSubSup>
      </m:oMath>
    </w:p>
    <w:p w14:paraId="6A944F2F" w14:textId="77777777" w:rsidR="00876278" w:rsidRPr="00935AFB" w:rsidRDefault="00876278" w:rsidP="00876278">
      <w:pPr>
        <w:pStyle w:val="ListParagraph"/>
        <w:numPr>
          <w:ilvl w:val="0"/>
          <w:numId w:val="16"/>
        </w:numPr>
      </w:pPr>
      <w:r>
        <w:t xml:space="preserve">Installed capacity: </w:t>
      </w:r>
      <m:oMath>
        <m:sSubSup>
          <m:sSubSupPr>
            <m:ctrlPr>
              <w:rPr>
                <w:rFonts w:ascii="Cambria Math" w:hAnsi="Cambria Math"/>
                <w:i/>
                <w:iCs/>
              </w:rPr>
            </m:ctrlPr>
          </m:sSubSupPr>
          <m:e>
            <m:r>
              <w:rPr>
                <w:rFonts w:ascii="Cambria Math" w:hAnsi="Cambria Math"/>
              </w:rPr>
              <m:t>GW</m:t>
            </m:r>
          </m:e>
          <m:sub>
            <m:r>
              <w:rPr>
                <w:rFonts w:ascii="Cambria Math" w:hAnsi="Cambria Math"/>
              </w:rPr>
              <m:t>i,k,t</m:t>
            </m:r>
          </m:sub>
          <m:sup>
            <m:r>
              <w:rPr>
                <w:rFonts w:ascii="Cambria Math" w:hAnsi="Cambria Math"/>
              </w:rPr>
              <m:t>v,in</m:t>
            </m:r>
          </m:sup>
        </m:sSubSup>
      </m:oMath>
    </w:p>
    <w:p w14:paraId="56AE9D3B" w14:textId="77777777" w:rsidR="00876278" w:rsidRDefault="00876278" w:rsidP="00876278">
      <w:pPr>
        <w:pStyle w:val="ListParagraph"/>
        <w:numPr>
          <w:ilvl w:val="0"/>
          <w:numId w:val="16"/>
        </w:numPr>
      </w:pPr>
      <w:r>
        <w:t xml:space="preserve">newly installed capacity: </w:t>
      </w:r>
      <m:oMath>
        <m:sSubSup>
          <m:sSubSupPr>
            <m:ctrlPr>
              <w:rPr>
                <w:rFonts w:ascii="Cambria Math" w:hAnsi="Cambria Math"/>
                <w:i/>
                <w:iCs/>
              </w:rPr>
            </m:ctrlPr>
          </m:sSubSupPr>
          <m:e>
            <m:r>
              <w:rPr>
                <w:rFonts w:ascii="Cambria Math" w:hAnsi="Cambria Math"/>
              </w:rPr>
              <m:t>GW</m:t>
            </m:r>
          </m:e>
          <m:sub>
            <m:r>
              <w:rPr>
                <w:rFonts w:ascii="Cambria Math" w:hAnsi="Cambria Math"/>
              </w:rPr>
              <m:t>i,k,t</m:t>
            </m:r>
          </m:sub>
          <m:sup>
            <m:r>
              <w:rPr>
                <w:rFonts w:ascii="Cambria Math" w:hAnsi="Cambria Math"/>
              </w:rPr>
              <m:t>v,add</m:t>
            </m:r>
          </m:sup>
        </m:sSubSup>
      </m:oMath>
    </w:p>
    <w:p w14:paraId="743FFFB4" w14:textId="64F07D76" w:rsidR="00876278" w:rsidRPr="006A7C92" w:rsidRDefault="00876278" w:rsidP="006A7C92">
      <w:pPr>
        <w:pStyle w:val="ListParagraph"/>
        <w:numPr>
          <w:ilvl w:val="0"/>
          <w:numId w:val="16"/>
        </w:numPr>
      </w:pPr>
      <w:r>
        <w:t xml:space="preserve">retired capacity: </w:t>
      </w:r>
      <m:oMath>
        <m:sSubSup>
          <m:sSubSupPr>
            <m:ctrlPr>
              <w:rPr>
                <w:rFonts w:ascii="Cambria Math" w:hAnsi="Cambria Math"/>
                <w:i/>
                <w:iCs/>
              </w:rPr>
            </m:ctrlPr>
          </m:sSubSupPr>
          <m:e>
            <m:r>
              <w:rPr>
                <w:rFonts w:ascii="Cambria Math" w:hAnsi="Cambria Math"/>
              </w:rPr>
              <m:t>GW</m:t>
            </m:r>
          </m:e>
          <m:sub>
            <m:r>
              <w:rPr>
                <w:rFonts w:ascii="Cambria Math" w:hAnsi="Cambria Math"/>
              </w:rPr>
              <m:t>i,k,t</m:t>
            </m:r>
          </m:sub>
          <m:sup>
            <m:r>
              <w:rPr>
                <w:rFonts w:ascii="Cambria Math" w:hAnsi="Cambria Math"/>
              </w:rPr>
              <m:t>v,ret</m:t>
            </m:r>
          </m:sup>
        </m:sSubSup>
      </m:oMath>
    </w:p>
    <w:p w14:paraId="75659BCA" w14:textId="3FD4EC3F" w:rsidR="00022CD2" w:rsidRDefault="00022CD2" w:rsidP="00022CD2">
      <w:pPr>
        <w:pStyle w:val="Heading3"/>
      </w:pPr>
      <w:bookmarkStart w:id="31" w:name="_Toc178345348"/>
      <w:r>
        <w:t>3.</w:t>
      </w:r>
      <w:r w:rsidR="004527CE">
        <w:t>2</w:t>
      </w:r>
      <w:r>
        <w:t xml:space="preserve">.1 </w:t>
      </w:r>
      <w:r w:rsidR="00AD536F">
        <w:t>Operational capacity and i</w:t>
      </w:r>
      <w:r w:rsidR="00435312">
        <w:t>nstalled capacity</w:t>
      </w:r>
      <w:bookmarkEnd w:id="31"/>
      <w:r w:rsidR="00435312">
        <w:t xml:space="preserve"> </w:t>
      </w:r>
    </w:p>
    <w:p w14:paraId="65929132" w14:textId="2FD406AB" w:rsidR="00217822" w:rsidRDefault="004F6D76" w:rsidP="005E53AB">
      <w:r w:rsidRPr="00510E77">
        <w:t>As we expect fixed O&amp;M jobs to be associated with installed capacity, and variable O&amp;M jobs to be associated with operational capacity, we need to distinguish installed from operational capacity.</w:t>
      </w:r>
      <w:r w:rsidR="00510E77">
        <w:t xml:space="preserve"> </w:t>
      </w:r>
      <w:r w:rsidR="00FD07E5">
        <w:t>The i</w:t>
      </w:r>
      <w:r w:rsidR="00435312">
        <w:t xml:space="preserve">nstalled capacity </w:t>
      </w:r>
      <m:oMath>
        <m:sSubSup>
          <m:sSubSupPr>
            <m:ctrlPr>
              <w:rPr>
                <w:rFonts w:ascii="Cambria Math" w:hAnsi="Cambria Math"/>
                <w:i/>
                <w:iCs/>
              </w:rPr>
            </m:ctrlPr>
          </m:sSubSupPr>
          <m:e>
            <m:r>
              <w:rPr>
                <w:rFonts w:ascii="Cambria Math" w:hAnsi="Cambria Math"/>
              </w:rPr>
              <m:t>GW</m:t>
            </m:r>
          </m:e>
          <m:sub>
            <m:r>
              <w:rPr>
                <w:rFonts w:ascii="Cambria Math" w:hAnsi="Cambria Math"/>
              </w:rPr>
              <m:t>i,k,t</m:t>
            </m:r>
          </m:sub>
          <m:sup>
            <m:r>
              <w:rPr>
                <w:rFonts w:ascii="Cambria Math" w:hAnsi="Cambria Math"/>
              </w:rPr>
              <m:t>v,in</m:t>
            </m:r>
          </m:sup>
        </m:sSubSup>
      </m:oMath>
      <w:r w:rsidR="00435312">
        <w:t xml:space="preserve"> </w:t>
      </w:r>
      <w:r w:rsidR="00010BFD">
        <w:t>represents</w:t>
      </w:r>
      <w:r w:rsidR="00435312">
        <w:t xml:space="preserve"> the theoretical upper limit of </w:t>
      </w:r>
      <w:r w:rsidR="00010BFD">
        <w:t xml:space="preserve">operational </w:t>
      </w:r>
      <w:r w:rsidR="00435312">
        <w:t xml:space="preserve">capacity </w:t>
      </w:r>
      <m:oMath>
        <m:sSubSup>
          <m:sSubSupPr>
            <m:ctrlPr>
              <w:rPr>
                <w:rFonts w:ascii="Cambria Math" w:hAnsi="Cambria Math"/>
                <w:i/>
                <w:iCs/>
              </w:rPr>
            </m:ctrlPr>
          </m:sSubSupPr>
          <m:e>
            <m:r>
              <w:rPr>
                <w:rFonts w:ascii="Cambria Math" w:hAnsi="Cambria Math"/>
              </w:rPr>
              <m:t>GW</m:t>
            </m:r>
          </m:e>
          <m:sub>
            <m:r>
              <w:rPr>
                <w:rFonts w:ascii="Cambria Math" w:hAnsi="Cambria Math"/>
              </w:rPr>
              <m:t>i,k,t</m:t>
            </m:r>
          </m:sub>
          <m:sup>
            <m:r>
              <w:rPr>
                <w:rFonts w:ascii="Cambria Math" w:hAnsi="Cambria Math"/>
              </w:rPr>
              <m:t>v,op</m:t>
            </m:r>
          </m:sup>
        </m:sSubSup>
      </m:oMath>
      <w:r w:rsidR="00D12F99">
        <w:t>. D</w:t>
      </w:r>
      <w:r w:rsidR="00435312">
        <w:t xml:space="preserve">ue to </w:t>
      </w:r>
      <w:r w:rsidR="00D13322">
        <w:t xml:space="preserve">the possibility of profit-driven temporary </w:t>
      </w:r>
      <w:r w:rsidR="00261F7C">
        <w:t>shutdown</w:t>
      </w:r>
      <w:r w:rsidR="00217822">
        <w:t>, operational capacity for a given vintage may be less than installed capacity (i.e.,</w:t>
      </w:r>
      <w:r w:rsidR="00681B6A">
        <w:t xml:space="preserve"> </w:t>
      </w:r>
      <m:oMath>
        <m:sSubSup>
          <m:sSubSupPr>
            <m:ctrlPr>
              <w:rPr>
                <w:rFonts w:ascii="Cambria Math" w:hAnsi="Cambria Math"/>
                <w:i/>
                <w:iCs/>
              </w:rPr>
            </m:ctrlPr>
          </m:sSubSupPr>
          <m:e>
            <m:r>
              <w:rPr>
                <w:rFonts w:ascii="Cambria Math" w:hAnsi="Cambria Math"/>
              </w:rPr>
              <m:t>GW</m:t>
            </m:r>
          </m:e>
          <m:sub>
            <m:r>
              <w:rPr>
                <w:rFonts w:ascii="Cambria Math" w:hAnsi="Cambria Math"/>
              </w:rPr>
              <m:t>i,k,t</m:t>
            </m:r>
          </m:sub>
          <m:sup>
            <m:r>
              <w:rPr>
                <w:rFonts w:ascii="Cambria Math" w:hAnsi="Cambria Math"/>
              </w:rPr>
              <m:t>v,op</m:t>
            </m:r>
          </m:sup>
        </m:sSubSup>
        <m:r>
          <w:rPr>
            <w:rFonts w:ascii="Cambria Math" w:hAnsi="Cambria Math"/>
          </w:rPr>
          <m:t xml:space="preserve">≤ </m:t>
        </m:r>
        <m:sSubSup>
          <m:sSubSupPr>
            <m:ctrlPr>
              <w:rPr>
                <w:rFonts w:ascii="Cambria Math" w:hAnsi="Cambria Math"/>
                <w:i/>
                <w:iCs/>
              </w:rPr>
            </m:ctrlPr>
          </m:sSubSupPr>
          <m:e>
            <m:r>
              <w:rPr>
                <w:rFonts w:ascii="Cambria Math" w:hAnsi="Cambria Math"/>
              </w:rPr>
              <m:t>GW</m:t>
            </m:r>
          </m:e>
          <m:sub>
            <m:r>
              <w:rPr>
                <w:rFonts w:ascii="Cambria Math" w:hAnsi="Cambria Math"/>
              </w:rPr>
              <m:t>i,k,t</m:t>
            </m:r>
          </m:sub>
          <m:sup>
            <m:r>
              <w:rPr>
                <w:rFonts w:ascii="Cambria Math" w:hAnsi="Cambria Math"/>
              </w:rPr>
              <m:t>v,in</m:t>
            </m:r>
          </m:sup>
        </m:sSubSup>
      </m:oMath>
      <w:r w:rsidR="00217822">
        <w:rPr>
          <w:iCs/>
        </w:rPr>
        <w:t>)</w:t>
      </w:r>
      <w:r w:rsidR="002263E5">
        <w:rPr>
          <w:iCs/>
        </w:rPr>
        <w:t xml:space="preserve">. </w:t>
      </w:r>
      <w:r w:rsidR="00D76595">
        <w:rPr>
          <w:iCs/>
        </w:rPr>
        <w:t>We</w:t>
      </w:r>
      <w:r w:rsidR="00D76595">
        <w:t xml:space="preserve"> consider temporary shutdowns as</w:t>
      </w:r>
      <w:r w:rsidR="007F1C33">
        <w:t xml:space="preserve"> capacity</w:t>
      </w:r>
      <w:r w:rsidR="00D76595">
        <w:t xml:space="preserve"> underutilization instead of </w:t>
      </w:r>
      <w:r w:rsidR="009349AF">
        <w:t xml:space="preserve">capacity </w:t>
      </w:r>
      <w:r w:rsidR="00D76595">
        <w:t>retirements</w:t>
      </w:r>
      <w:r w:rsidR="00217822">
        <w:t>.</w:t>
      </w:r>
      <w:r w:rsidR="004B68F4">
        <w:t xml:space="preserve"> </w:t>
      </w:r>
    </w:p>
    <w:p w14:paraId="784793E5" w14:textId="125E691F" w:rsidR="00D76595" w:rsidRDefault="00217822" w:rsidP="005E53AB">
      <w:pPr>
        <w:rPr>
          <w:iCs/>
        </w:rPr>
      </w:pPr>
      <w:r>
        <w:rPr>
          <w:iCs/>
        </w:rPr>
        <w:t xml:space="preserve">These two measures of generation then provide their associated capacities: </w:t>
      </w:r>
    </w:p>
    <w:p w14:paraId="4409A52E" w14:textId="2E4C722C" w:rsidR="00701D8D" w:rsidRDefault="00000000" w:rsidP="005E53AB">
      <w:pPr>
        <w:rPr>
          <w:iCs/>
        </w:rPr>
      </w:pPr>
      <m:oMath>
        <m:sSubSup>
          <m:sSubSupPr>
            <m:ctrlPr>
              <w:rPr>
                <w:rFonts w:ascii="Cambria Math" w:hAnsi="Cambria Math"/>
                <w:i/>
                <w:iCs/>
              </w:rPr>
            </m:ctrlPr>
          </m:sSubSupPr>
          <m:e>
            <m:r>
              <w:rPr>
                <w:rFonts w:ascii="Cambria Math" w:hAnsi="Cambria Math"/>
              </w:rPr>
              <m:t>GW</m:t>
            </m:r>
          </m:e>
          <m:sub>
            <m:r>
              <w:rPr>
                <w:rFonts w:ascii="Cambria Math" w:hAnsi="Cambria Math"/>
              </w:rPr>
              <m:t>i,k,t</m:t>
            </m:r>
          </m:sub>
          <m:sup>
            <m:r>
              <w:rPr>
                <w:rFonts w:ascii="Cambria Math" w:hAnsi="Cambria Math"/>
              </w:rPr>
              <m:t>v,op</m:t>
            </m:r>
          </m:sup>
        </m:sSubSup>
        <m:r>
          <w:rPr>
            <w:rFonts w:ascii="Cambria Math" w:hAnsi="Cambria Math"/>
          </w:rPr>
          <m:t>=</m:t>
        </m:r>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v,op</m:t>
            </m:r>
          </m:sup>
        </m:sSubSup>
        <m:r>
          <w:rPr>
            <w:rFonts w:ascii="Cambria Math" w:hAnsi="Cambria Math"/>
          </w:rPr>
          <m:t>/</m:t>
        </m:r>
        <m:sSub>
          <m:sSubPr>
            <m:ctrlPr>
              <w:rPr>
                <w:rFonts w:ascii="Cambria Math" w:hAnsi="Cambria Math"/>
                <w:i/>
                <w:iCs/>
              </w:rPr>
            </m:ctrlPr>
          </m:sSubPr>
          <m:e>
            <m:r>
              <w:rPr>
                <w:rFonts w:ascii="Cambria Math" w:hAnsi="Cambria Math"/>
              </w:rPr>
              <m:t>CF</m:t>
            </m:r>
          </m:e>
          <m:sub>
            <m:r>
              <w:rPr>
                <w:rFonts w:ascii="Cambria Math" w:hAnsi="Cambria Math"/>
              </w:rPr>
              <m:t>i,k,t</m:t>
            </m:r>
          </m:sub>
        </m:sSub>
      </m:oMath>
      <w:r w:rsidR="009D25A8">
        <w:rPr>
          <w:iCs/>
        </w:rPr>
        <w:t xml:space="preserve">, and </w:t>
      </w:r>
    </w:p>
    <w:p w14:paraId="4889CA4A" w14:textId="55481347" w:rsidR="009D6A38" w:rsidRDefault="00000000" w:rsidP="005E53AB">
      <w:pPr>
        <w:rPr>
          <w:iCs/>
        </w:rPr>
      </w:pPr>
      <m:oMath>
        <m:sSubSup>
          <m:sSubSupPr>
            <m:ctrlPr>
              <w:rPr>
                <w:rFonts w:ascii="Cambria Math" w:hAnsi="Cambria Math"/>
                <w:i/>
                <w:iCs/>
              </w:rPr>
            </m:ctrlPr>
          </m:sSubSupPr>
          <m:e>
            <m:r>
              <w:rPr>
                <w:rFonts w:ascii="Cambria Math" w:hAnsi="Cambria Math"/>
              </w:rPr>
              <m:t>GW</m:t>
            </m:r>
          </m:e>
          <m:sub>
            <m:r>
              <w:rPr>
                <w:rFonts w:ascii="Cambria Math" w:hAnsi="Cambria Math"/>
              </w:rPr>
              <m:t>i,k,t</m:t>
            </m:r>
          </m:sub>
          <m:sup>
            <m:r>
              <w:rPr>
                <w:rFonts w:ascii="Cambria Math" w:hAnsi="Cambria Math"/>
              </w:rPr>
              <m:t>v,in</m:t>
            </m:r>
          </m:sup>
        </m:sSubSup>
        <m:r>
          <w:rPr>
            <w:rFonts w:ascii="Cambria Math" w:hAnsi="Cambria Math"/>
          </w:rPr>
          <m:t>=</m:t>
        </m:r>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v,in</m:t>
            </m:r>
          </m:sup>
        </m:sSubSup>
        <m:r>
          <w:rPr>
            <w:rFonts w:ascii="Cambria Math" w:hAnsi="Cambria Math"/>
          </w:rPr>
          <m:t>/</m:t>
        </m:r>
        <m:sSub>
          <m:sSubPr>
            <m:ctrlPr>
              <w:rPr>
                <w:rFonts w:ascii="Cambria Math" w:hAnsi="Cambria Math"/>
                <w:i/>
                <w:iCs/>
              </w:rPr>
            </m:ctrlPr>
          </m:sSubPr>
          <m:e>
            <m:r>
              <w:rPr>
                <w:rFonts w:ascii="Cambria Math" w:hAnsi="Cambria Math"/>
              </w:rPr>
              <m:t>CF</m:t>
            </m:r>
          </m:e>
          <m:sub>
            <m:r>
              <w:rPr>
                <w:rFonts w:ascii="Cambria Math" w:hAnsi="Cambria Math"/>
              </w:rPr>
              <m:t>i,k,t</m:t>
            </m:r>
          </m:sub>
        </m:sSub>
      </m:oMath>
      <w:r w:rsidR="00701D8D">
        <w:rPr>
          <w:iCs/>
        </w:rPr>
        <w:t xml:space="preserve"> </w:t>
      </w:r>
    </w:p>
    <w:p w14:paraId="3391C71A" w14:textId="06213EF1" w:rsidR="005E53AB" w:rsidRPr="005E53AB" w:rsidRDefault="00183C62" w:rsidP="005E53AB">
      <w:r>
        <w:lastRenderedPageBreak/>
        <w:t>The installed capacity of a period consists of newly installed capacity and capacity built in previous periods that have not retired yet.</w:t>
      </w:r>
      <w:r w:rsidR="00120CFE">
        <w:t xml:space="preserve"> Power generation from newly installed capacity is</w:t>
      </w:r>
      <w:r>
        <w:t xml:space="preserve"> </w:t>
      </w:r>
      <m:oMath>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v=t</m:t>
            </m:r>
          </m:sup>
        </m:sSubSup>
      </m:oMath>
      <w:r w:rsidR="00CD7718">
        <w:t>, and we can calculate the</w:t>
      </w:r>
      <w:r w:rsidR="00435312">
        <w:t xml:space="preserve"> newly installed capacity </w:t>
      </w:r>
      <m:oMath>
        <m:sSubSup>
          <m:sSubSupPr>
            <m:ctrlPr>
              <w:rPr>
                <w:rFonts w:ascii="Cambria Math" w:hAnsi="Cambria Math"/>
                <w:i/>
                <w:iCs/>
              </w:rPr>
            </m:ctrlPr>
          </m:sSubSupPr>
          <m:e>
            <m:r>
              <w:rPr>
                <w:rFonts w:ascii="Cambria Math" w:hAnsi="Cambria Math"/>
              </w:rPr>
              <m:t>GW</m:t>
            </m:r>
          </m:e>
          <m:sub>
            <m:r>
              <w:rPr>
                <w:rFonts w:ascii="Cambria Math" w:hAnsi="Cambria Math"/>
              </w:rPr>
              <m:t>i,k,t</m:t>
            </m:r>
          </m:sub>
          <m:sup>
            <m:r>
              <w:rPr>
                <w:rFonts w:ascii="Cambria Math" w:hAnsi="Cambria Math"/>
              </w:rPr>
              <m:t>v,add</m:t>
            </m:r>
          </m:sup>
        </m:sSubSup>
        <m:r>
          <w:rPr>
            <w:rFonts w:ascii="Cambria Math" w:hAnsi="Cambria Math"/>
          </w:rPr>
          <m:t>=</m:t>
        </m:r>
        <m:sSubSup>
          <m:sSubSupPr>
            <m:ctrlPr>
              <w:rPr>
                <w:rFonts w:ascii="Cambria Math" w:hAnsi="Cambria Math"/>
                <w:i/>
                <w:iCs/>
              </w:rPr>
            </m:ctrlPr>
          </m:sSubSupPr>
          <m:e>
            <m:r>
              <w:rPr>
                <w:rFonts w:ascii="Cambria Math" w:hAnsi="Cambria Math"/>
              </w:rPr>
              <m:t>EJ</m:t>
            </m:r>
          </m:e>
          <m:sub>
            <m:r>
              <w:rPr>
                <w:rFonts w:ascii="Cambria Math" w:hAnsi="Cambria Math"/>
              </w:rPr>
              <m:t>i,k,t</m:t>
            </m:r>
          </m:sub>
          <m:sup>
            <m:r>
              <w:rPr>
                <w:rFonts w:ascii="Cambria Math" w:hAnsi="Cambria Math"/>
              </w:rPr>
              <m:t>v,add</m:t>
            </m:r>
          </m:sup>
        </m:sSubSup>
        <m:r>
          <w:rPr>
            <w:rFonts w:ascii="Cambria Math" w:hAnsi="Cambria Math"/>
          </w:rPr>
          <m:t>/</m:t>
        </m:r>
        <m:sSub>
          <m:sSubPr>
            <m:ctrlPr>
              <w:rPr>
                <w:rFonts w:ascii="Cambria Math" w:hAnsi="Cambria Math"/>
                <w:i/>
                <w:iCs/>
              </w:rPr>
            </m:ctrlPr>
          </m:sSubPr>
          <m:e>
            <m:r>
              <w:rPr>
                <w:rFonts w:ascii="Cambria Math" w:hAnsi="Cambria Math"/>
              </w:rPr>
              <m:t>CF</m:t>
            </m:r>
          </m:e>
          <m:sub>
            <m:r>
              <w:rPr>
                <w:rFonts w:ascii="Cambria Math" w:hAnsi="Cambria Math"/>
              </w:rPr>
              <m:t>i,k,t</m:t>
            </m:r>
          </m:sub>
        </m:sSub>
      </m:oMath>
      <w:r w:rsidR="00DD39E1">
        <w:rPr>
          <w:iCs/>
        </w:rPr>
        <w:t>.</w:t>
      </w:r>
      <w:r w:rsidR="00435312">
        <w:rPr>
          <w:iCs/>
        </w:rPr>
        <w:t xml:space="preserve"> </w:t>
      </w:r>
    </w:p>
    <w:p w14:paraId="0325F0AD" w14:textId="278CB7C6" w:rsidR="00471432" w:rsidRPr="00471432" w:rsidRDefault="00022CD2" w:rsidP="00471432">
      <w:pPr>
        <w:pStyle w:val="Heading3"/>
      </w:pPr>
      <w:bookmarkStart w:id="32" w:name="_Toc178345349"/>
      <w:r>
        <w:t>3.</w:t>
      </w:r>
      <w:r w:rsidR="004527CE">
        <w:t>2</w:t>
      </w:r>
      <w:r>
        <w:t xml:space="preserve">.2 </w:t>
      </w:r>
      <w:r w:rsidR="00364E92">
        <w:t>Capacity</w:t>
      </w:r>
      <w:r w:rsidR="00295735">
        <w:t xml:space="preserve"> retirement</w:t>
      </w:r>
      <w:bookmarkEnd w:id="32"/>
    </w:p>
    <w:p w14:paraId="4FC5252E" w14:textId="5878398D" w:rsidR="00790352" w:rsidRDefault="00000000" w:rsidP="00577E4D">
      <w:pPr>
        <w:rPr>
          <w:iCs/>
          <w:color w:val="000000" w:themeColor="text1"/>
        </w:rPr>
      </w:pPr>
      <m:oMath>
        <m:sSubSup>
          <m:sSubSupPr>
            <m:ctrlPr>
              <w:rPr>
                <w:rFonts w:ascii="Cambria Math" w:hAnsi="Cambria Math"/>
                <w:i/>
                <w:iCs/>
                <w:color w:val="000000" w:themeColor="text1"/>
              </w:rPr>
            </m:ctrlPr>
          </m:sSubSupPr>
          <m:e>
            <m:r>
              <w:rPr>
                <w:rFonts w:ascii="Cambria Math" w:hAnsi="Cambria Math"/>
                <w:color w:val="000000" w:themeColor="text1"/>
              </w:rPr>
              <m:t>GW</m:t>
            </m:r>
          </m:e>
          <m:sub>
            <m:r>
              <w:rPr>
                <w:rFonts w:ascii="Cambria Math" w:hAnsi="Cambria Math"/>
                <w:color w:val="000000" w:themeColor="text1"/>
              </w:rPr>
              <m:t>i,k,t</m:t>
            </m:r>
          </m:sub>
          <m:sup>
            <m:r>
              <w:rPr>
                <w:rFonts w:ascii="Cambria Math" w:hAnsi="Cambria Math"/>
                <w:color w:val="000000" w:themeColor="text1"/>
              </w:rPr>
              <m:t>v,ret</m:t>
            </m:r>
          </m:sup>
        </m:sSubSup>
      </m:oMath>
      <w:r w:rsidR="001D220F">
        <w:rPr>
          <w:iCs/>
          <w:color w:val="000000" w:themeColor="text1"/>
        </w:rPr>
        <w:t>denotes</w:t>
      </w:r>
      <w:r w:rsidR="0097534D">
        <w:rPr>
          <w:iCs/>
          <w:color w:val="000000" w:themeColor="text1"/>
        </w:rPr>
        <w:t xml:space="preserve"> the </w:t>
      </w:r>
      <w:r w:rsidR="004913B2">
        <w:rPr>
          <w:iCs/>
          <w:color w:val="000000" w:themeColor="text1"/>
        </w:rPr>
        <w:t>capacity</w:t>
      </w:r>
      <w:r w:rsidR="0097534D">
        <w:rPr>
          <w:iCs/>
          <w:color w:val="000000" w:themeColor="text1"/>
        </w:rPr>
        <w:t xml:space="preserve"> loss due to</w:t>
      </w:r>
      <w:r w:rsidR="000024E7">
        <w:rPr>
          <w:iCs/>
          <w:color w:val="000000" w:themeColor="text1"/>
        </w:rPr>
        <w:t xml:space="preserve"> </w:t>
      </w:r>
      <w:r w:rsidR="0097534D">
        <w:rPr>
          <w:iCs/>
          <w:color w:val="000000" w:themeColor="text1"/>
        </w:rPr>
        <w:t xml:space="preserve">retirement. </w:t>
      </w:r>
      <w:r w:rsidR="00D93429">
        <w:rPr>
          <w:iCs/>
          <w:color w:val="000000" w:themeColor="text1"/>
        </w:rPr>
        <w:t xml:space="preserve">In GCAM-USA, </w:t>
      </w:r>
      <w:r w:rsidR="000024E7">
        <w:rPr>
          <w:iCs/>
          <w:color w:val="000000" w:themeColor="text1"/>
        </w:rPr>
        <w:t xml:space="preserve">capacity </w:t>
      </w:r>
      <w:r w:rsidR="00577E4D">
        <w:rPr>
          <w:iCs/>
          <w:color w:val="000000" w:themeColor="text1"/>
        </w:rPr>
        <w:t xml:space="preserve">retirement consists of </w:t>
      </w:r>
    </w:p>
    <w:p w14:paraId="383788EC" w14:textId="7A8ED459" w:rsidR="00790352" w:rsidRPr="00790352" w:rsidRDefault="00790352" w:rsidP="00790352">
      <w:pPr>
        <w:pStyle w:val="ListParagraph"/>
        <w:numPr>
          <w:ilvl w:val="0"/>
          <w:numId w:val="17"/>
        </w:numPr>
        <w:rPr>
          <w:iCs/>
          <w:color w:val="000000" w:themeColor="text1"/>
        </w:rPr>
      </w:pPr>
      <w:r>
        <w:rPr>
          <w:iCs/>
          <w:color w:val="000000" w:themeColor="text1"/>
        </w:rPr>
        <w:t>N</w:t>
      </w:r>
      <w:r w:rsidR="00577E4D" w:rsidRPr="00790352">
        <w:rPr>
          <w:iCs/>
          <w:color w:val="000000" w:themeColor="text1"/>
        </w:rPr>
        <w:t xml:space="preserve">atural retirement </w:t>
      </w:r>
      <m:oMath>
        <m:sSubSup>
          <m:sSubSupPr>
            <m:ctrlPr>
              <w:rPr>
                <w:rFonts w:ascii="Cambria Math" w:hAnsi="Cambria Math"/>
                <w:i/>
                <w:iCs/>
                <w:color w:val="000000" w:themeColor="text1"/>
              </w:rPr>
            </m:ctrlPr>
          </m:sSubSupPr>
          <m:e>
            <m:r>
              <w:rPr>
                <w:rFonts w:ascii="Cambria Math" w:hAnsi="Cambria Math"/>
                <w:color w:val="000000" w:themeColor="text1"/>
              </w:rPr>
              <m:t>GW</m:t>
            </m:r>
          </m:e>
          <m:sub>
            <m:r>
              <w:rPr>
                <w:rFonts w:ascii="Cambria Math" w:hAnsi="Cambria Math"/>
                <w:color w:val="000000" w:themeColor="text1"/>
              </w:rPr>
              <m:t>i,k,t</m:t>
            </m:r>
          </m:sub>
          <m:sup>
            <m:r>
              <w:rPr>
                <w:rFonts w:ascii="Cambria Math" w:hAnsi="Cambria Math"/>
                <w:color w:val="000000" w:themeColor="text1"/>
              </w:rPr>
              <m:t>v, nat_ret</m:t>
            </m:r>
          </m:sup>
        </m:sSubSup>
      </m:oMath>
      <w:r w:rsidR="00AB072B">
        <w:rPr>
          <w:iCs/>
          <w:color w:val="000000" w:themeColor="text1"/>
        </w:rPr>
        <w:t xml:space="preserve">: </w:t>
      </w:r>
      <w:r w:rsidR="00AB072B" w:rsidRPr="00680BE2">
        <w:rPr>
          <w:iCs/>
          <w:color w:val="000000" w:themeColor="text1"/>
        </w:rPr>
        <w:t>Capacity built in or before 2015 is considered vintage 2015. An S-curve assumption is applied for the natural retirement of this vintage</w:t>
      </w:r>
      <w:r w:rsidR="00052887">
        <w:rPr>
          <w:iCs/>
          <w:color w:val="000000" w:themeColor="text1"/>
        </w:rPr>
        <w:t xml:space="preserve"> (</w:t>
      </w:r>
      <m:oMath>
        <m:sSubSup>
          <m:sSubSupPr>
            <m:ctrlPr>
              <w:rPr>
                <w:rFonts w:ascii="Cambria Math" w:hAnsi="Cambria Math"/>
                <w:i/>
                <w:iCs/>
                <w:color w:val="000000" w:themeColor="text1"/>
              </w:rPr>
            </m:ctrlPr>
          </m:sSubSupPr>
          <m:e>
            <m:r>
              <w:rPr>
                <w:rFonts w:ascii="Cambria Math" w:hAnsi="Cambria Math"/>
                <w:color w:val="000000" w:themeColor="text1"/>
              </w:rPr>
              <m:t>GW</m:t>
            </m:r>
          </m:e>
          <m:sub>
            <m:r>
              <w:rPr>
                <w:rFonts w:ascii="Cambria Math" w:hAnsi="Cambria Math"/>
                <w:color w:val="000000" w:themeColor="text1"/>
              </w:rPr>
              <m:t>i,k,t</m:t>
            </m:r>
          </m:sub>
          <m:sup>
            <m:r>
              <w:rPr>
                <w:rFonts w:ascii="Cambria Math" w:hAnsi="Cambria Math"/>
                <w:color w:val="000000" w:themeColor="text1"/>
              </w:rPr>
              <m:t>v=2015, nat_ret</m:t>
            </m:r>
          </m:sup>
        </m:sSubSup>
      </m:oMath>
      <w:r w:rsidR="00052887">
        <w:rPr>
          <w:iCs/>
          <w:color w:val="000000" w:themeColor="text1"/>
        </w:rPr>
        <w:t>)</w:t>
      </w:r>
      <w:r w:rsidR="00AB072B" w:rsidRPr="00680BE2">
        <w:rPr>
          <w:iCs/>
          <w:color w:val="000000" w:themeColor="text1"/>
        </w:rPr>
        <w:t xml:space="preserve">. For capacities </w:t>
      </w:r>
      <w:r w:rsidR="004913B2">
        <w:rPr>
          <w:iCs/>
          <w:color w:val="000000" w:themeColor="text1"/>
        </w:rPr>
        <w:t xml:space="preserve">installed </w:t>
      </w:r>
      <w:r w:rsidR="00AB072B" w:rsidRPr="00680BE2">
        <w:rPr>
          <w:iCs/>
          <w:color w:val="000000" w:themeColor="text1"/>
        </w:rPr>
        <w:t xml:space="preserve">from 2020 onwards, retirement occurs when they reach their </w:t>
      </w:r>
      <w:r w:rsidR="005E7556" w:rsidRPr="00680BE2">
        <w:rPr>
          <w:iCs/>
          <w:color w:val="000000" w:themeColor="text1"/>
        </w:rPr>
        <w:t>lifetime.</w:t>
      </w:r>
    </w:p>
    <w:p w14:paraId="792B9E6A" w14:textId="4E67E28A" w:rsidR="00577E4D" w:rsidRPr="007A09AB" w:rsidRDefault="007A09AB" w:rsidP="007A09AB">
      <w:pPr>
        <w:pStyle w:val="ListParagraph"/>
        <w:numPr>
          <w:ilvl w:val="0"/>
          <w:numId w:val="17"/>
        </w:numPr>
        <w:rPr>
          <w:iCs/>
          <w:color w:val="000000" w:themeColor="text1"/>
        </w:rPr>
      </w:pPr>
      <w:r>
        <w:rPr>
          <w:iCs/>
          <w:color w:val="000000" w:themeColor="text1"/>
        </w:rPr>
        <w:t>P</w:t>
      </w:r>
      <w:r w:rsidR="00577E4D" w:rsidRPr="007A09AB">
        <w:rPr>
          <w:iCs/>
          <w:color w:val="000000" w:themeColor="text1"/>
        </w:rPr>
        <w:t>re-mature retirement</w:t>
      </w:r>
      <w:r w:rsidR="009B5062" w:rsidRPr="007A09AB">
        <w:rPr>
          <w:iCs/>
          <w:color w:val="000000" w:themeColor="text1"/>
        </w:rPr>
        <w:t xml:space="preserve"> </w:t>
      </w:r>
      <m:oMath>
        <m:sSubSup>
          <m:sSubSupPr>
            <m:ctrlPr>
              <w:rPr>
                <w:rFonts w:ascii="Cambria Math" w:hAnsi="Cambria Math"/>
                <w:i/>
                <w:iCs/>
                <w:color w:val="000000" w:themeColor="text1"/>
              </w:rPr>
            </m:ctrlPr>
          </m:sSubSupPr>
          <m:e>
            <m:r>
              <w:rPr>
                <w:rFonts w:ascii="Cambria Math" w:hAnsi="Cambria Math"/>
                <w:color w:val="000000" w:themeColor="text1"/>
              </w:rPr>
              <m:t>GW</m:t>
            </m:r>
          </m:e>
          <m:sub>
            <m:r>
              <w:rPr>
                <w:rFonts w:ascii="Cambria Math" w:hAnsi="Cambria Math"/>
                <w:color w:val="000000" w:themeColor="text1"/>
              </w:rPr>
              <m:t>i,k,t</m:t>
            </m:r>
          </m:sub>
          <m:sup>
            <m:r>
              <w:rPr>
                <w:rFonts w:ascii="Cambria Math" w:hAnsi="Cambria Math"/>
                <w:color w:val="000000" w:themeColor="text1"/>
              </w:rPr>
              <m:t>v, pre_ret</m:t>
            </m:r>
          </m:sup>
        </m:sSubSup>
      </m:oMath>
      <w:r w:rsidR="00530661">
        <w:rPr>
          <w:iCs/>
          <w:color w:val="000000" w:themeColor="text1"/>
        </w:rPr>
        <w:t xml:space="preserve">: </w:t>
      </w:r>
      <w:r w:rsidR="00FC6CA1">
        <w:rPr>
          <w:iCs/>
          <w:color w:val="000000" w:themeColor="text1"/>
        </w:rPr>
        <w:t>Occurs</w:t>
      </w:r>
      <w:r w:rsidR="00577E4D" w:rsidRPr="007A09AB">
        <w:rPr>
          <w:iCs/>
          <w:color w:val="000000" w:themeColor="text1"/>
        </w:rPr>
        <w:t xml:space="preserve"> when the power generation of a technology is no longer profitable. When total retirement </w:t>
      </w:r>
      <w:r w:rsidR="00C4020B">
        <w:rPr>
          <w:iCs/>
          <w:color w:val="000000" w:themeColor="text1"/>
        </w:rPr>
        <w:t>exceeds</w:t>
      </w:r>
      <w:r w:rsidR="00577E4D" w:rsidRPr="007A09AB">
        <w:rPr>
          <w:iCs/>
          <w:color w:val="000000" w:themeColor="text1"/>
        </w:rPr>
        <w:t xml:space="preserve"> natural retirement</w:t>
      </w:r>
      <w:r w:rsidR="00AC3720">
        <w:rPr>
          <w:iCs/>
          <w:color w:val="000000" w:themeColor="text1"/>
        </w:rPr>
        <w:t xml:space="preserve">, </w:t>
      </w:r>
      <w:r w:rsidR="00AC3720">
        <w:t>the excess is attributed to premature retirement.</w:t>
      </w:r>
    </w:p>
    <w:p w14:paraId="455498CE" w14:textId="41450A82" w:rsidR="00364E92" w:rsidRPr="00471432" w:rsidRDefault="00364E92" w:rsidP="00364E92">
      <w:pPr>
        <w:pStyle w:val="Heading3"/>
      </w:pPr>
      <w:bookmarkStart w:id="33" w:name="_Toc178345350"/>
      <w:r>
        <w:t>3.</w:t>
      </w:r>
      <w:r w:rsidR="004527CE">
        <w:t>2</w:t>
      </w:r>
      <w:r>
        <w:t>.3 Simultaneous capacity addition and pre-mature retir</w:t>
      </w:r>
      <w:r w:rsidR="00FC5F8D">
        <w:t>e</w:t>
      </w:r>
      <w:r>
        <w:t>ment</w:t>
      </w:r>
      <w:bookmarkEnd w:id="33"/>
    </w:p>
    <w:p w14:paraId="7B42D71A" w14:textId="1E0C8CB7" w:rsidR="00843F96" w:rsidRPr="00843F96" w:rsidRDefault="00843F96" w:rsidP="00843F96">
      <w:pPr>
        <w:rPr>
          <w:iCs/>
          <w:color w:val="000000" w:themeColor="text1"/>
        </w:rPr>
      </w:pPr>
      <w:r w:rsidRPr="00843F96">
        <w:rPr>
          <w:iCs/>
          <w:color w:val="000000" w:themeColor="text1"/>
        </w:rPr>
        <w:t>GCAM-USA's modeling structure allows capacity additions and premature retirements to occur simultaneously</w:t>
      </w:r>
      <w:r w:rsidR="00D662EF">
        <w:rPr>
          <w:iCs/>
          <w:color w:val="000000" w:themeColor="text1"/>
        </w:rPr>
        <w:t xml:space="preserve"> for a given technology in period t</w:t>
      </w:r>
      <w:r w:rsidRPr="00843F96">
        <w:rPr>
          <w:iCs/>
          <w:color w:val="000000" w:themeColor="text1"/>
        </w:rPr>
        <w:t xml:space="preserve">. This structure is effective for regions with multiple facilities of </w:t>
      </w:r>
      <w:r w:rsidR="002B6A39">
        <w:rPr>
          <w:iCs/>
          <w:color w:val="000000" w:themeColor="text1"/>
        </w:rPr>
        <w:t xml:space="preserve">a given </w:t>
      </w:r>
      <w:r w:rsidRPr="00843F96">
        <w:rPr>
          <w:iCs/>
          <w:color w:val="000000" w:themeColor="text1"/>
        </w:rPr>
        <w:t>technology in a given year.</w:t>
      </w:r>
      <w:r w:rsidR="002B6A39">
        <w:rPr>
          <w:iCs/>
          <w:color w:val="000000" w:themeColor="text1"/>
        </w:rPr>
        <w:t xml:space="preserve"> </w:t>
      </w:r>
      <w:r w:rsidRPr="00843F96">
        <w:rPr>
          <w:iCs/>
          <w:color w:val="000000" w:themeColor="text1"/>
        </w:rPr>
        <w:t>However, this approach may be less practical for small regions with only one facility of the technology.</w:t>
      </w:r>
    </w:p>
    <w:p w14:paraId="1B30B97A" w14:textId="231684F4" w:rsidR="001E5F36" w:rsidRDefault="00E80684" w:rsidP="00577E4D">
      <w:pPr>
        <w:rPr>
          <w:iCs/>
          <w:color w:val="000000" w:themeColor="text1"/>
        </w:rPr>
      </w:pPr>
      <w:r>
        <w:rPr>
          <w:iCs/>
          <w:color w:val="000000" w:themeColor="text1"/>
        </w:rPr>
        <w:t xml:space="preserve">For larger states, such as Texas and California, it would be reasonable to adopt a “Total” method where capacity additions and </w:t>
      </w:r>
      <w:r w:rsidR="00383B10">
        <w:rPr>
          <w:iCs/>
          <w:color w:val="000000" w:themeColor="text1"/>
        </w:rPr>
        <w:t xml:space="preserve">pre-mature </w:t>
      </w:r>
      <w:r>
        <w:rPr>
          <w:iCs/>
          <w:color w:val="000000" w:themeColor="text1"/>
        </w:rPr>
        <w:t xml:space="preserve">retirements of a given technology can happen in the same period. </w:t>
      </w:r>
      <w:r w:rsidR="0052164D">
        <w:rPr>
          <w:iCs/>
          <w:color w:val="000000" w:themeColor="text1"/>
        </w:rPr>
        <w:t>For</w:t>
      </w:r>
      <w:r>
        <w:rPr>
          <w:iCs/>
          <w:color w:val="000000" w:themeColor="text1"/>
        </w:rPr>
        <w:t xml:space="preserve"> smaller states, such as Rhode Island, it would be reasonable to adopt a “Net” method where </w:t>
      </w:r>
      <w:r w:rsidR="00FE3E89">
        <w:rPr>
          <w:iCs/>
          <w:color w:val="000000" w:themeColor="text1"/>
        </w:rPr>
        <w:t>capacity addition and pre-mature retirement net out each other.</w:t>
      </w:r>
      <w:r>
        <w:rPr>
          <w:iCs/>
          <w:color w:val="000000" w:themeColor="text1"/>
        </w:rPr>
        <w:t xml:space="preserve"> </w:t>
      </w:r>
    </w:p>
    <w:p w14:paraId="6A47644D" w14:textId="3AB93D9D" w:rsidR="00FC52E3" w:rsidRDefault="00FC52E3" w:rsidP="00577E4D">
      <w:pPr>
        <w:rPr>
          <w:iCs/>
          <w:color w:val="000000" w:themeColor="text1"/>
        </w:rPr>
      </w:pPr>
      <w:r>
        <w:rPr>
          <w:iCs/>
          <w:color w:val="000000" w:themeColor="text1"/>
        </w:rPr>
        <w:t>Specifically, with</w:t>
      </w:r>
      <w:r w:rsidR="0065528D">
        <w:rPr>
          <w:iCs/>
          <w:color w:val="000000" w:themeColor="text1"/>
        </w:rPr>
        <w:t xml:space="preserve"> the “Total” method,</w:t>
      </w:r>
      <w:r w:rsidR="00FF514F">
        <w:rPr>
          <w:iCs/>
          <w:color w:val="000000" w:themeColor="text1"/>
        </w:rPr>
        <w:t xml:space="preserve"> </w:t>
      </w:r>
      <m:oMath>
        <m:sSubSup>
          <m:sSubSupPr>
            <m:ctrlPr>
              <w:rPr>
                <w:rFonts w:ascii="Cambria Math" w:hAnsi="Cambria Math"/>
                <w:i/>
                <w:iCs/>
                <w:color w:val="000000" w:themeColor="text1"/>
              </w:rPr>
            </m:ctrlPr>
          </m:sSubSupPr>
          <m:e>
            <m:r>
              <w:rPr>
                <w:rFonts w:ascii="Cambria Math" w:hAnsi="Cambria Math"/>
                <w:color w:val="000000" w:themeColor="text1"/>
              </w:rPr>
              <m:t>GW</m:t>
            </m:r>
          </m:e>
          <m:sub>
            <m:r>
              <w:rPr>
                <w:rFonts w:ascii="Cambria Math" w:hAnsi="Cambria Math"/>
                <w:color w:val="000000" w:themeColor="text1"/>
              </w:rPr>
              <m:t>i,k,t</m:t>
            </m:r>
          </m:sub>
          <m:sup>
            <m:r>
              <w:rPr>
                <w:rFonts w:ascii="Cambria Math" w:hAnsi="Cambria Math"/>
                <w:color w:val="000000" w:themeColor="text1"/>
              </w:rPr>
              <m:t>v,ret</m:t>
            </m:r>
          </m:sup>
        </m:sSubSup>
      </m:oMath>
      <w:r w:rsidR="00FF514F">
        <w:rPr>
          <w:iCs/>
          <w:color w:val="000000" w:themeColor="text1"/>
        </w:rPr>
        <w:t xml:space="preserve"> and</w:t>
      </w:r>
      <w:r w:rsidR="0065528D">
        <w:rPr>
          <w:iCs/>
          <w:color w:val="000000" w:themeColor="text1"/>
        </w:rPr>
        <w:t xml:space="preserve"> </w:t>
      </w:r>
      <m:oMath>
        <m:sSubSup>
          <m:sSubSupPr>
            <m:ctrlPr>
              <w:rPr>
                <w:rFonts w:ascii="Cambria Math" w:hAnsi="Cambria Math"/>
                <w:i/>
                <w:iCs/>
                <w:color w:val="000000" w:themeColor="text1"/>
              </w:rPr>
            </m:ctrlPr>
          </m:sSubSupPr>
          <m:e>
            <m:r>
              <w:rPr>
                <w:rFonts w:ascii="Cambria Math" w:hAnsi="Cambria Math"/>
                <w:color w:val="000000" w:themeColor="text1"/>
              </w:rPr>
              <m:t>GW</m:t>
            </m:r>
          </m:e>
          <m:sub>
            <m:r>
              <w:rPr>
                <w:rFonts w:ascii="Cambria Math" w:hAnsi="Cambria Math"/>
                <w:color w:val="000000" w:themeColor="text1"/>
              </w:rPr>
              <m:t>i,k,t</m:t>
            </m:r>
          </m:sub>
          <m:sup>
            <m:r>
              <w:rPr>
                <w:rFonts w:ascii="Cambria Math" w:hAnsi="Cambria Math"/>
                <w:color w:val="000000" w:themeColor="text1"/>
              </w:rPr>
              <m:t>add</m:t>
            </m:r>
          </m:sup>
        </m:sSubSup>
      </m:oMath>
      <w:r w:rsidR="0065528D">
        <w:rPr>
          <w:iCs/>
          <w:color w:val="000000" w:themeColor="text1"/>
        </w:rPr>
        <w:t xml:space="preserve"> </w:t>
      </w:r>
      <w:r w:rsidR="00FF514F">
        <w:rPr>
          <w:iCs/>
          <w:color w:val="000000" w:themeColor="text1"/>
        </w:rPr>
        <w:t>are used</w:t>
      </w:r>
      <w:r w:rsidR="00A971CE">
        <w:rPr>
          <w:iCs/>
          <w:color w:val="000000" w:themeColor="text1"/>
        </w:rPr>
        <w:t xml:space="preserve"> for job calculation, while with </w:t>
      </w:r>
      <w:r>
        <w:rPr>
          <w:iCs/>
          <w:color w:val="000000" w:themeColor="text1"/>
        </w:rPr>
        <w:t>the “Net” method,</w:t>
      </w:r>
      <w:r w:rsidR="00225E82">
        <w:rPr>
          <w:iCs/>
          <w:color w:val="000000" w:themeColor="text1"/>
        </w:rPr>
        <w:t xml:space="preserve"> </w:t>
      </w:r>
      <m:oMath>
        <m:sSubSup>
          <m:sSubSupPr>
            <m:ctrlPr>
              <w:rPr>
                <w:rFonts w:ascii="Cambria Math" w:hAnsi="Cambria Math"/>
                <w:i/>
                <w:iCs/>
                <w:color w:val="000000" w:themeColor="text1"/>
              </w:rPr>
            </m:ctrlPr>
          </m:sSubSupPr>
          <m:e>
            <m:r>
              <w:rPr>
                <w:rFonts w:ascii="Cambria Math" w:hAnsi="Cambria Math"/>
                <w:color w:val="000000" w:themeColor="text1"/>
              </w:rPr>
              <m:t>GW</m:t>
            </m:r>
          </m:e>
          <m:sub>
            <m:r>
              <w:rPr>
                <w:rFonts w:ascii="Cambria Math" w:hAnsi="Cambria Math"/>
                <w:color w:val="000000" w:themeColor="text1"/>
              </w:rPr>
              <m:t>i,k,t</m:t>
            </m:r>
          </m:sub>
          <m:sup>
            <m:r>
              <w:rPr>
                <w:rFonts w:ascii="Cambria Math" w:hAnsi="Cambria Math"/>
                <w:color w:val="000000" w:themeColor="text1"/>
              </w:rPr>
              <m:t>v,ret*</m:t>
            </m:r>
          </m:sup>
        </m:sSubSup>
      </m:oMath>
      <w:r w:rsidR="00225E82">
        <w:rPr>
          <w:iCs/>
          <w:color w:val="000000" w:themeColor="text1"/>
        </w:rPr>
        <w:t xml:space="preserve"> and </w:t>
      </w:r>
      <m:oMath>
        <m:sSubSup>
          <m:sSubSupPr>
            <m:ctrlPr>
              <w:rPr>
                <w:rFonts w:ascii="Cambria Math" w:hAnsi="Cambria Math"/>
                <w:i/>
                <w:iCs/>
                <w:color w:val="000000" w:themeColor="text1"/>
              </w:rPr>
            </m:ctrlPr>
          </m:sSubSupPr>
          <m:e>
            <m:r>
              <w:rPr>
                <w:rFonts w:ascii="Cambria Math" w:hAnsi="Cambria Math"/>
                <w:color w:val="000000" w:themeColor="text1"/>
              </w:rPr>
              <m:t>GW</m:t>
            </m:r>
          </m:e>
          <m:sub>
            <m:r>
              <w:rPr>
                <w:rFonts w:ascii="Cambria Math" w:hAnsi="Cambria Math"/>
                <w:color w:val="000000" w:themeColor="text1"/>
              </w:rPr>
              <m:t>i,k,t</m:t>
            </m:r>
          </m:sub>
          <m:sup>
            <m:r>
              <w:rPr>
                <w:rFonts w:ascii="Cambria Math" w:hAnsi="Cambria Math"/>
                <w:color w:val="000000" w:themeColor="text1"/>
              </w:rPr>
              <m:t>v,add*</m:t>
            </m:r>
          </m:sup>
        </m:sSubSup>
      </m:oMath>
      <w:r w:rsidR="00225E82">
        <w:rPr>
          <w:iCs/>
          <w:color w:val="000000" w:themeColor="text1"/>
        </w:rPr>
        <w:t xml:space="preserve"> are used for job calculation</w:t>
      </w:r>
      <w:r w:rsidR="00641E4E">
        <w:rPr>
          <w:iCs/>
          <w:color w:val="000000" w:themeColor="text1"/>
        </w:rPr>
        <w:t>, where</w:t>
      </w:r>
    </w:p>
    <w:p w14:paraId="7440A9B6" w14:textId="495040FC" w:rsidR="0088054A" w:rsidRDefault="00000000" w:rsidP="0088054A">
      <w:pPr>
        <w:rPr>
          <w:iCs/>
          <w:color w:val="000000" w:themeColor="text1"/>
        </w:rPr>
      </w:pPr>
      <m:oMath>
        <m:sSubSup>
          <m:sSubSupPr>
            <m:ctrlPr>
              <w:rPr>
                <w:rFonts w:ascii="Cambria Math" w:hAnsi="Cambria Math"/>
                <w:i/>
                <w:iCs/>
                <w:color w:val="000000" w:themeColor="text1"/>
              </w:rPr>
            </m:ctrlPr>
          </m:sSubSupPr>
          <m:e>
            <m:r>
              <w:rPr>
                <w:rFonts w:ascii="Cambria Math" w:hAnsi="Cambria Math"/>
                <w:color w:val="000000" w:themeColor="text1"/>
              </w:rPr>
              <m:t>GW</m:t>
            </m:r>
          </m:e>
          <m:sub>
            <m:r>
              <w:rPr>
                <w:rFonts w:ascii="Cambria Math" w:hAnsi="Cambria Math"/>
                <w:color w:val="000000" w:themeColor="text1"/>
              </w:rPr>
              <m:t>i,k,t</m:t>
            </m:r>
          </m:sub>
          <m:sup>
            <m:r>
              <w:rPr>
                <w:rFonts w:ascii="Cambria Math" w:hAnsi="Cambria Math"/>
                <w:color w:val="000000" w:themeColor="text1"/>
              </w:rPr>
              <m:t>v,ret*</m:t>
            </m:r>
          </m:sup>
        </m:sSubSup>
        <m:r>
          <w:rPr>
            <w:rFonts w:ascii="Cambria Math" w:hAnsi="Cambria Math"/>
            <w:color w:val="000000" w:themeColor="text1"/>
          </w:rPr>
          <m:t> </m:t>
        </m:r>
      </m:oMath>
      <w:r w:rsidR="0088054A" w:rsidRPr="0088054A">
        <w:rPr>
          <w:iCs/>
          <w:color w:val="000000" w:themeColor="text1"/>
        </w:rPr>
        <w:t xml:space="preserve">= </w:t>
      </w:r>
      <m:oMath>
        <m:sSubSup>
          <m:sSubSupPr>
            <m:ctrlPr>
              <w:rPr>
                <w:rFonts w:ascii="Cambria Math" w:hAnsi="Cambria Math"/>
                <w:i/>
                <w:iCs/>
                <w:color w:val="000000" w:themeColor="text1"/>
              </w:rPr>
            </m:ctrlPr>
          </m:sSubSupPr>
          <m:e>
            <m:r>
              <w:rPr>
                <w:rFonts w:ascii="Cambria Math" w:hAnsi="Cambria Math"/>
                <w:color w:val="000000" w:themeColor="text1"/>
              </w:rPr>
              <m:t>GW</m:t>
            </m:r>
          </m:e>
          <m:sub>
            <m:r>
              <w:rPr>
                <w:rFonts w:ascii="Cambria Math" w:hAnsi="Cambria Math"/>
                <w:color w:val="000000" w:themeColor="text1"/>
              </w:rPr>
              <m:t>i,k,t</m:t>
            </m:r>
          </m:sub>
          <m:sup>
            <m:r>
              <w:rPr>
                <w:rFonts w:ascii="Cambria Math" w:hAnsi="Cambria Math"/>
                <w:color w:val="000000" w:themeColor="text1"/>
              </w:rPr>
              <m:t>v, nat_ret</m:t>
            </m:r>
          </m:sup>
        </m:sSubSup>
        <m:r>
          <w:rPr>
            <w:rFonts w:ascii="Cambria Math" w:hAnsi="Cambria Math"/>
            <w:color w:val="000000" w:themeColor="text1"/>
          </w:rPr>
          <m:t> </m:t>
        </m:r>
      </m:oMath>
      <w:r w:rsidR="0088054A" w:rsidRPr="0088054A">
        <w:rPr>
          <w:iCs/>
          <w:color w:val="000000" w:themeColor="text1"/>
        </w:rPr>
        <w:t xml:space="preserve">+ max(0, </w:t>
      </w:r>
      <m:oMath>
        <m:sSubSup>
          <m:sSubSupPr>
            <m:ctrlPr>
              <w:rPr>
                <w:rFonts w:ascii="Cambria Math" w:hAnsi="Cambria Math"/>
                <w:i/>
                <w:iCs/>
                <w:color w:val="000000" w:themeColor="text1"/>
              </w:rPr>
            </m:ctrlPr>
          </m:sSubSupPr>
          <m:e>
            <m:r>
              <w:rPr>
                <w:rFonts w:ascii="Cambria Math" w:hAnsi="Cambria Math"/>
                <w:color w:val="000000" w:themeColor="text1"/>
              </w:rPr>
              <m:t>GW</m:t>
            </m:r>
          </m:e>
          <m:sub>
            <m:r>
              <w:rPr>
                <w:rFonts w:ascii="Cambria Math" w:hAnsi="Cambria Math"/>
                <w:color w:val="000000" w:themeColor="text1"/>
              </w:rPr>
              <m:t>i,k,t</m:t>
            </m:r>
          </m:sub>
          <m:sup>
            <m:r>
              <w:rPr>
                <w:rFonts w:ascii="Cambria Math" w:hAnsi="Cambria Math"/>
                <w:color w:val="000000" w:themeColor="text1"/>
              </w:rPr>
              <m:t>v, pre_ret</m:t>
            </m:r>
          </m:sup>
        </m:sSubSup>
        <m:r>
          <m:rPr>
            <m:sty m:val="p"/>
          </m:rPr>
          <w:rPr>
            <w:rFonts w:ascii="Cambria Math" w:hAnsi="Cambria Math"/>
            <w:color w:val="000000" w:themeColor="text1"/>
          </w:rPr>
          <m:t>-</m:t>
        </m:r>
        <m:sSubSup>
          <m:sSubSupPr>
            <m:ctrlPr>
              <w:rPr>
                <w:rFonts w:ascii="Cambria Math" w:hAnsi="Cambria Math"/>
                <w:i/>
                <w:iCs/>
                <w:color w:val="000000" w:themeColor="text1"/>
              </w:rPr>
            </m:ctrlPr>
          </m:sSubSupPr>
          <m:e>
            <m:r>
              <w:rPr>
                <w:rFonts w:ascii="Cambria Math" w:hAnsi="Cambria Math"/>
                <w:color w:val="000000" w:themeColor="text1"/>
              </w:rPr>
              <m:t>GW</m:t>
            </m:r>
          </m:e>
          <m:sub>
            <m:r>
              <w:rPr>
                <w:rFonts w:ascii="Cambria Math" w:hAnsi="Cambria Math"/>
                <w:color w:val="000000" w:themeColor="text1"/>
              </w:rPr>
              <m:t>i,k,t</m:t>
            </m:r>
          </m:sub>
          <m:sup>
            <m:r>
              <w:rPr>
                <w:rFonts w:ascii="Cambria Math" w:hAnsi="Cambria Math"/>
                <w:color w:val="000000" w:themeColor="text1"/>
              </w:rPr>
              <m:t>add</m:t>
            </m:r>
          </m:sup>
        </m:sSubSup>
      </m:oMath>
      <w:r w:rsidR="0088054A" w:rsidRPr="0088054A">
        <w:rPr>
          <w:iCs/>
          <w:color w:val="000000" w:themeColor="text1"/>
        </w:rPr>
        <w:t>)</w:t>
      </w:r>
    </w:p>
    <w:p w14:paraId="7B2FA8D9" w14:textId="456D151B" w:rsidR="00AA7316" w:rsidRPr="00803462" w:rsidRDefault="00000000" w:rsidP="005E53AB">
      <w:pPr>
        <w:rPr>
          <w:iCs/>
          <w:color w:val="000000" w:themeColor="text1"/>
        </w:rPr>
      </w:pPr>
      <m:oMath>
        <m:sSubSup>
          <m:sSubSupPr>
            <m:ctrlPr>
              <w:rPr>
                <w:rFonts w:ascii="Cambria Math" w:hAnsi="Cambria Math"/>
                <w:i/>
                <w:iCs/>
                <w:color w:val="000000" w:themeColor="text1"/>
              </w:rPr>
            </m:ctrlPr>
          </m:sSubSupPr>
          <m:e>
            <m:r>
              <w:rPr>
                <w:rFonts w:ascii="Cambria Math" w:hAnsi="Cambria Math"/>
                <w:color w:val="000000" w:themeColor="text1"/>
              </w:rPr>
              <m:t>GW</m:t>
            </m:r>
          </m:e>
          <m:sub>
            <m:r>
              <w:rPr>
                <w:rFonts w:ascii="Cambria Math" w:hAnsi="Cambria Math"/>
                <w:color w:val="000000" w:themeColor="text1"/>
              </w:rPr>
              <m:t>i,k,t</m:t>
            </m:r>
          </m:sub>
          <m:sup>
            <m:r>
              <w:rPr>
                <w:rFonts w:ascii="Cambria Math" w:hAnsi="Cambria Math"/>
                <w:color w:val="000000" w:themeColor="text1"/>
              </w:rPr>
              <m:t>v,add*</m:t>
            </m:r>
          </m:sup>
        </m:sSubSup>
        <m:r>
          <w:rPr>
            <w:rFonts w:ascii="Cambria Math" w:hAnsi="Cambria Math"/>
            <w:color w:val="000000" w:themeColor="text1"/>
          </w:rPr>
          <m:t> </m:t>
        </m:r>
      </m:oMath>
      <w:r w:rsidR="002A3BB0" w:rsidRPr="002A3BB0">
        <w:rPr>
          <w:iCs/>
          <w:color w:val="000000" w:themeColor="text1"/>
        </w:rPr>
        <w:t xml:space="preserve">= max(0, </w:t>
      </w:r>
      <m:oMath>
        <m:sSubSup>
          <m:sSubSupPr>
            <m:ctrlPr>
              <w:rPr>
                <w:rFonts w:ascii="Cambria Math" w:hAnsi="Cambria Math"/>
                <w:i/>
                <w:iCs/>
                <w:color w:val="000000" w:themeColor="text1"/>
              </w:rPr>
            </m:ctrlPr>
          </m:sSubSupPr>
          <m:e>
            <m:r>
              <w:rPr>
                <w:rFonts w:ascii="Cambria Math" w:hAnsi="Cambria Math"/>
                <w:color w:val="000000" w:themeColor="text1"/>
              </w:rPr>
              <m:t>GW</m:t>
            </m:r>
          </m:e>
          <m:sub>
            <m:r>
              <w:rPr>
                <w:rFonts w:ascii="Cambria Math" w:hAnsi="Cambria Math"/>
                <w:color w:val="000000" w:themeColor="text1"/>
              </w:rPr>
              <m:t>i,k,t</m:t>
            </m:r>
          </m:sub>
          <m:sup>
            <m:r>
              <w:rPr>
                <w:rFonts w:ascii="Cambria Math" w:hAnsi="Cambria Math"/>
                <w:color w:val="000000" w:themeColor="text1"/>
              </w:rPr>
              <m:t>add</m:t>
            </m:r>
          </m:sup>
        </m:sSubSup>
        <m:r>
          <w:rPr>
            <w:rFonts w:ascii="Cambria Math" w:hAnsi="Cambria Math"/>
            <w:color w:val="000000" w:themeColor="text1"/>
          </w:rPr>
          <m:t>-</m:t>
        </m:r>
        <m:sSubSup>
          <m:sSubSupPr>
            <m:ctrlPr>
              <w:rPr>
                <w:rFonts w:ascii="Cambria Math" w:hAnsi="Cambria Math"/>
                <w:i/>
                <w:iCs/>
                <w:color w:val="000000" w:themeColor="text1"/>
              </w:rPr>
            </m:ctrlPr>
          </m:sSubSupPr>
          <m:e>
            <m:r>
              <w:rPr>
                <w:rFonts w:ascii="Cambria Math" w:hAnsi="Cambria Math"/>
                <w:color w:val="000000" w:themeColor="text1"/>
              </w:rPr>
              <m:t>GW</m:t>
            </m:r>
          </m:e>
          <m:sub>
            <m:r>
              <w:rPr>
                <w:rFonts w:ascii="Cambria Math" w:hAnsi="Cambria Math"/>
                <w:color w:val="000000" w:themeColor="text1"/>
              </w:rPr>
              <m:t>i,k,t</m:t>
            </m:r>
          </m:sub>
          <m:sup>
            <m:r>
              <w:rPr>
                <w:rFonts w:ascii="Cambria Math" w:hAnsi="Cambria Math"/>
                <w:color w:val="000000" w:themeColor="text1"/>
              </w:rPr>
              <m:t>v, pre_ret</m:t>
            </m:r>
          </m:sup>
        </m:sSubSup>
      </m:oMath>
      <w:r w:rsidR="002A3BB0" w:rsidRPr="002A3BB0">
        <w:rPr>
          <w:iCs/>
          <w:color w:val="000000" w:themeColor="text1"/>
        </w:rPr>
        <w:t>)</w:t>
      </w:r>
    </w:p>
    <w:p w14:paraId="4FBB3662" w14:textId="6FFA793C" w:rsidR="00205FA4" w:rsidRDefault="00022CD2" w:rsidP="00BF118F">
      <w:pPr>
        <w:pStyle w:val="Heading2"/>
      </w:pPr>
      <w:bookmarkStart w:id="34" w:name="_Toc178345351"/>
      <w:r>
        <w:t>3.</w:t>
      </w:r>
      <w:r w:rsidR="004527CE">
        <w:t>3</w:t>
      </w:r>
      <w:r>
        <w:t xml:space="preserve"> Job calculation</w:t>
      </w:r>
      <w:bookmarkEnd w:id="34"/>
    </w:p>
    <w:p w14:paraId="64FD77BB" w14:textId="3C27E2F5" w:rsidR="00655FA2" w:rsidRPr="00655FA2" w:rsidRDefault="00655FA2" w:rsidP="00655FA2">
      <w:r>
        <w:t xml:space="preserve">In this version of the package, we focus on direct jobs in power generation, including onsite construction jobs, </w:t>
      </w:r>
      <w:r w:rsidR="00351F36">
        <w:t>construction-related</w:t>
      </w:r>
      <w:r>
        <w:t xml:space="preserve"> jobs (i.e. design and management), operation &amp; maintenance (O&amp;M) jobs, and decommission jobs.</w:t>
      </w:r>
      <w:r w:rsidR="00351F36">
        <w:t xml:space="preserve"> </w:t>
      </w:r>
      <w:r w:rsidR="00182771">
        <w:t xml:space="preserve">Construction jobs are associated with capacity additions, while decommission jobs are tied to capacity retirements. Operational capacity is linked to variable O&amp;M jobs, and installed capacity corresponds to fixed O&amp;M jobs. </w:t>
      </w:r>
      <w:r w:rsidR="00597560">
        <w:t>Therefore, to calculate the job outcomes, we</w:t>
      </w:r>
      <w:r>
        <w:t xml:space="preserve"> apply the </w:t>
      </w:r>
      <w:r w:rsidR="00597560">
        <w:t xml:space="preserve">construction </w:t>
      </w:r>
      <w:r>
        <w:t xml:space="preserve">employment factor (EF) to capacity </w:t>
      </w:r>
      <w:r w:rsidR="00597560">
        <w:t>additions, decommission EF to capacity retirement</w:t>
      </w:r>
      <w:r w:rsidR="000D0784">
        <w:t xml:space="preserve">, </w:t>
      </w:r>
      <w:r w:rsidR="00597560">
        <w:t>variable O&amp;M EF to operational capacity</w:t>
      </w:r>
      <w:r w:rsidR="000D0784">
        <w:t>,</w:t>
      </w:r>
      <w:r w:rsidR="00597560">
        <w:t xml:space="preserve"> and fixed O&amp;M EF to installed capacity.</w:t>
      </w:r>
      <w:r w:rsidR="00617955">
        <w:t xml:space="preserve"> </w:t>
      </w:r>
    </w:p>
    <w:p w14:paraId="53149BEF" w14:textId="4FC56679" w:rsidR="008C34BA" w:rsidRDefault="008C34BA" w:rsidP="008C34BA">
      <w:pPr>
        <w:pStyle w:val="Heading3"/>
      </w:pPr>
      <w:bookmarkStart w:id="35" w:name="_Ref177378169"/>
      <w:bookmarkStart w:id="36" w:name="_Toc178345352"/>
      <w:r>
        <w:lastRenderedPageBreak/>
        <w:t>3.</w:t>
      </w:r>
      <w:r w:rsidR="004527CE">
        <w:t>3</w:t>
      </w:r>
      <w:r>
        <w:t>.</w:t>
      </w:r>
      <w:r w:rsidR="00205FA4">
        <w:t>1</w:t>
      </w:r>
      <w:r>
        <w:t xml:space="preserve"> Adjustment for O&amp;M job</w:t>
      </w:r>
      <w:bookmarkEnd w:id="35"/>
      <w:r w:rsidR="00640847">
        <w:t>s</w:t>
      </w:r>
      <w:bookmarkEnd w:id="36"/>
    </w:p>
    <w:p w14:paraId="6350863D" w14:textId="6E95CFF2" w:rsidR="001373EB" w:rsidRDefault="008C34BA" w:rsidP="008C34BA">
      <w:r>
        <w:t>JEDI O</w:t>
      </w:r>
      <w:r w:rsidR="00C41C1B">
        <w:t>&amp;</w:t>
      </w:r>
      <w:r>
        <w:t>M employment factor</w:t>
      </w:r>
      <w:r w:rsidR="001B5C29">
        <w:t xml:space="preserve"> (EF)</w:t>
      </w:r>
      <w:r w:rsidR="00434158">
        <w:t xml:space="preserve">, </w:t>
      </w:r>
      <m:oMath>
        <m:sSubSup>
          <m:sSubSupPr>
            <m:ctrlPr>
              <w:rPr>
                <w:rFonts w:ascii="Cambria Math" w:hAnsi="Cambria Math"/>
                <w:i/>
                <w:iCs/>
                <w:color w:val="000000" w:themeColor="text1"/>
              </w:rPr>
            </m:ctrlPr>
          </m:sSubSupPr>
          <m:e>
            <m:r>
              <w:rPr>
                <w:rFonts w:ascii="Cambria Math" w:hAnsi="Cambria Math"/>
                <w:color w:val="000000" w:themeColor="text1"/>
              </w:rPr>
              <m:t>EF</m:t>
            </m:r>
          </m:e>
          <m:sub>
            <m:r>
              <w:rPr>
                <w:rFonts w:ascii="Cambria Math" w:hAnsi="Cambria Math"/>
                <w:color w:val="000000" w:themeColor="text1"/>
              </w:rPr>
              <m:t>OM</m:t>
            </m:r>
          </m:sub>
          <m:sup>
            <m:r>
              <w:rPr>
                <w:rFonts w:ascii="Cambria Math" w:hAnsi="Cambria Math"/>
                <w:color w:val="000000" w:themeColor="text1"/>
              </w:rPr>
              <m:t>JEDI</m:t>
            </m:r>
          </m:sup>
        </m:sSubSup>
      </m:oMath>
      <w:r w:rsidR="00434158">
        <w:rPr>
          <w:iCs/>
          <w:color w:val="000000" w:themeColor="text1"/>
        </w:rPr>
        <w:t xml:space="preserve">, </w:t>
      </w:r>
      <w:r>
        <w:t xml:space="preserve">is </w:t>
      </w:r>
      <w:r w:rsidR="00B052C2">
        <w:t>capacity-based</w:t>
      </w:r>
      <w:r>
        <w:t>, including both fixed and variable O</w:t>
      </w:r>
      <w:r w:rsidR="00AF1FD0">
        <w:t>&amp;</w:t>
      </w:r>
      <w:r>
        <w:t>M jobs</w:t>
      </w:r>
      <w:r w:rsidR="001373EB">
        <w:t>.</w:t>
      </w:r>
      <w:r w:rsidR="007A74AD">
        <w:t xml:space="preserve"> There are a few adjustment</w:t>
      </w:r>
      <w:r w:rsidR="00D7339B">
        <w:t>s</w:t>
      </w:r>
      <w:r w:rsidR="007A74AD">
        <w:t xml:space="preserve"> we need to make </w:t>
      </w:r>
      <w:r w:rsidR="00BA281D">
        <w:t>to</w:t>
      </w:r>
      <w:r w:rsidR="007A74AD">
        <w:t xml:space="preserve"> </w:t>
      </w:r>
      <w:r w:rsidR="00BA281D">
        <w:t>calculate</w:t>
      </w:r>
      <w:r w:rsidR="007A74AD">
        <w:t xml:space="preserve"> the O&amp;M jobs.</w:t>
      </w:r>
    </w:p>
    <w:p w14:paraId="3FF5768A" w14:textId="57F67940" w:rsidR="006C4C59" w:rsidRDefault="00AD26FA" w:rsidP="00AD26FA">
      <w:r>
        <w:t xml:space="preserve">Firstly, </w:t>
      </w:r>
      <w:r w:rsidR="00CA0AAB" w:rsidRPr="00CA0AAB">
        <w:t>GCAM allows for temporary profit-driven shutdowns, during which fixed O&amp;M jobs remain while variable O&amp;M jobs are reduced</w:t>
      </w:r>
      <w:r w:rsidR="002676AA">
        <w:t xml:space="preserve">. </w:t>
      </w:r>
      <w:r w:rsidR="006C4C59" w:rsidRPr="006C4C59">
        <w:t xml:space="preserve">Therefore, we apply variable O&amp;M EF to the </w:t>
      </w:r>
      <w:r w:rsidR="005A114B">
        <w:t xml:space="preserve">operational </w:t>
      </w:r>
      <w:r w:rsidR="006C4C59" w:rsidRPr="006C4C59">
        <w:t xml:space="preserve">capacity and fixed O&amp;M EF to </w:t>
      </w:r>
      <w:r w:rsidR="0010262B">
        <w:t xml:space="preserve">the </w:t>
      </w:r>
      <w:r w:rsidR="006C4C59" w:rsidRPr="006C4C59">
        <w:t>installed capacity</w:t>
      </w:r>
      <w:r w:rsidR="00CB25DC">
        <w:t>. We use</w:t>
      </w:r>
      <w:r w:rsidR="006C4C59" w:rsidRPr="006C4C59">
        <w:t xml:space="preserve"> GCAM-USA's assumptions on </w:t>
      </w:r>
      <w:r w:rsidR="0010262B">
        <w:t xml:space="preserve">the </w:t>
      </w:r>
      <w:r w:rsidR="006C4C59" w:rsidRPr="006C4C59">
        <w:t xml:space="preserve">variable </w:t>
      </w:r>
      <w:r w:rsidR="0010262B">
        <w:t>(</w:t>
      </w:r>
      <m:oMath>
        <m:sSubSup>
          <m:sSubSupPr>
            <m:ctrlPr>
              <w:rPr>
                <w:rFonts w:ascii="Cambria Math" w:hAnsi="Cambria Math"/>
                <w:i/>
                <w:iCs/>
                <w:color w:val="000000" w:themeColor="text1"/>
              </w:rPr>
            </m:ctrlPr>
          </m:sSubSupPr>
          <m:e>
            <m:r>
              <w:rPr>
                <w:rFonts w:ascii="Cambria Math" w:hAnsi="Cambria Math"/>
                <w:color w:val="000000" w:themeColor="text1"/>
              </w:rPr>
              <m:t>$</m:t>
            </m:r>
          </m:e>
          <m:sub>
            <m:r>
              <w:rPr>
                <w:rFonts w:ascii="Cambria Math" w:hAnsi="Cambria Math"/>
                <w:color w:val="000000" w:themeColor="text1"/>
              </w:rPr>
              <m:t>OM</m:t>
            </m:r>
          </m:sub>
          <m:sup>
            <m:r>
              <w:rPr>
                <w:rFonts w:ascii="Cambria Math" w:hAnsi="Cambria Math"/>
                <w:color w:val="000000" w:themeColor="text1"/>
              </w:rPr>
              <m:t>var</m:t>
            </m:r>
          </m:sup>
        </m:sSubSup>
      </m:oMath>
      <w:r w:rsidR="0010262B">
        <w:t xml:space="preserve">) </w:t>
      </w:r>
      <w:r w:rsidR="006C4C59" w:rsidRPr="006C4C59">
        <w:t xml:space="preserve">and fixed </w:t>
      </w:r>
      <w:r w:rsidR="0010262B">
        <w:t>(</w:t>
      </w:r>
      <m:oMath>
        <m:sSubSup>
          <m:sSubSupPr>
            <m:ctrlPr>
              <w:rPr>
                <w:rFonts w:ascii="Cambria Math" w:hAnsi="Cambria Math"/>
                <w:i/>
                <w:iCs/>
                <w:color w:val="000000" w:themeColor="text1"/>
              </w:rPr>
            </m:ctrlPr>
          </m:sSubSupPr>
          <m:e>
            <m:r>
              <w:rPr>
                <w:rFonts w:ascii="Cambria Math" w:hAnsi="Cambria Math"/>
                <w:color w:val="000000" w:themeColor="text1"/>
              </w:rPr>
              <m:t>$</m:t>
            </m:r>
          </m:e>
          <m:sub>
            <m:r>
              <w:rPr>
                <w:rFonts w:ascii="Cambria Math" w:hAnsi="Cambria Math"/>
                <w:color w:val="000000" w:themeColor="text1"/>
              </w:rPr>
              <m:t>OM</m:t>
            </m:r>
          </m:sub>
          <m:sup>
            <m:r>
              <w:rPr>
                <w:rFonts w:ascii="Cambria Math" w:hAnsi="Cambria Math"/>
                <w:color w:val="000000" w:themeColor="text1"/>
              </w:rPr>
              <m:t>fix</m:t>
            </m:r>
          </m:sup>
        </m:sSubSup>
      </m:oMath>
      <w:r w:rsidR="0010262B">
        <w:t xml:space="preserve">) </w:t>
      </w:r>
      <w:r w:rsidR="006C4C59" w:rsidRPr="006C4C59">
        <w:t xml:space="preserve">O&amp;M costs </w:t>
      </w:r>
      <w:r w:rsidR="00C62156">
        <w:t>(</w:t>
      </w:r>
      <w:hyperlink r:id="rId21" w:anchor="energy" w:history="1">
        <w:r w:rsidR="00A239B5" w:rsidRPr="001818ED">
          <w:rPr>
            <w:rStyle w:val="Hyperlink"/>
          </w:rPr>
          <w:t>https://jgcri.github.io/gcam-doc/inputs_supply.html#energy</w:t>
        </w:r>
      </w:hyperlink>
      <w:r w:rsidR="00C62156">
        <w:t xml:space="preserve">) </w:t>
      </w:r>
      <w:r w:rsidR="006C4C59" w:rsidRPr="006C4C59">
        <w:t>to separate JEDI’s O&amp;M EF accordingly, assuming the cost share reflects labor share</w:t>
      </w:r>
      <w:r w:rsidR="002676AA">
        <w:t>.</w:t>
      </w:r>
      <w:r w:rsidR="00B378DC">
        <w:t xml:space="preserve"> </w:t>
      </w:r>
    </w:p>
    <w:p w14:paraId="5F5850B2" w14:textId="77777777" w:rsidR="007A0E2E" w:rsidRDefault="00AD26FA" w:rsidP="00AD26FA">
      <w:r>
        <w:t xml:space="preserve">Secondly, </w:t>
      </w:r>
      <w:r w:rsidR="00EE08A1" w:rsidRPr="00EE08A1">
        <w:t>GCAM-USA models multiple load segments</w:t>
      </w:r>
      <w:r w:rsidR="00960DE7">
        <w:t xml:space="preserve"> (</w:t>
      </w:r>
      <w:r w:rsidR="006B4FAA">
        <w:t xml:space="preserve">i.e., </w:t>
      </w:r>
      <w:r w:rsidR="00960DE7">
        <w:t>base load, peak</w:t>
      </w:r>
      <w:r w:rsidR="009B71C8">
        <w:t xml:space="preserve"> load</w:t>
      </w:r>
      <w:r w:rsidR="00960DE7">
        <w:t>, subpeak</w:t>
      </w:r>
      <w:r w:rsidR="009B71C8">
        <w:t xml:space="preserve"> load</w:t>
      </w:r>
      <w:r w:rsidR="00960DE7">
        <w:t xml:space="preserve">, </w:t>
      </w:r>
      <w:r w:rsidR="00845933">
        <w:t>etc.</w:t>
      </w:r>
      <w:r w:rsidR="00960DE7">
        <w:t>)</w:t>
      </w:r>
      <w:r w:rsidR="00EE08A1" w:rsidRPr="00EE08A1">
        <w:t xml:space="preserve"> for power generation, where non-base load capacities are designed to operate for only a small part of the year, reflected in lower capacity factors. </w:t>
      </w:r>
      <w:r w:rsidR="00AE5354">
        <w:t xml:space="preserve">We expect non-base </w:t>
      </w:r>
      <w:r w:rsidR="00BA4484">
        <w:t xml:space="preserve">load capacities </w:t>
      </w:r>
      <w:r w:rsidR="00AE5354">
        <w:t>to have a lower</w:t>
      </w:r>
      <w:r w:rsidR="00EE08A1" w:rsidRPr="00EE08A1">
        <w:t xml:space="preserve"> level of variable O&amp;M jobs </w:t>
      </w:r>
      <w:r w:rsidR="0058238F">
        <w:t>compared to the</w:t>
      </w:r>
      <w:r w:rsidR="00EE08A1" w:rsidRPr="00EE08A1">
        <w:t xml:space="preserve"> base</w:t>
      </w:r>
      <w:r w:rsidR="00AE17C8">
        <w:t xml:space="preserve"> </w:t>
      </w:r>
      <w:r w:rsidR="00EE08A1" w:rsidRPr="00EE08A1">
        <w:t>load</w:t>
      </w:r>
      <w:r w:rsidR="00AE17C8">
        <w:t xml:space="preserve"> </w:t>
      </w:r>
      <w:r w:rsidR="00C578C2">
        <w:t>capacity</w:t>
      </w:r>
      <w:r w:rsidR="00845933">
        <w:t xml:space="preserve">. </w:t>
      </w:r>
      <w:r w:rsidR="00EE08A1" w:rsidRPr="00EE08A1">
        <w:t>Unfortunately, JEDI’s EF remains unchanged across different capacity factors,</w:t>
      </w:r>
      <w:r w:rsidR="00467AC6" w:rsidRPr="00EE08A1">
        <w:t xml:space="preserve"> </w:t>
      </w:r>
      <w:r w:rsidR="00EE08A1" w:rsidRPr="00EE08A1">
        <w:t>so we scale down the variable O&amp;M EF for non-base load capacities by using the ratio of non-base load to base-load capacity factors.</w:t>
      </w:r>
      <w:r w:rsidR="00534976">
        <w:t xml:space="preserve"> </w:t>
      </w:r>
      <w:r w:rsidR="00434158">
        <w:t>Specifically,</w:t>
      </w:r>
      <w:r w:rsidR="00345BD0">
        <w:t xml:space="preserve"> </w:t>
      </w:r>
    </w:p>
    <w:p w14:paraId="34F2E918" w14:textId="15CC6448" w:rsidR="00434158" w:rsidRDefault="00345BD0" w:rsidP="00AD26FA">
      <w:r>
        <w:t>for base load</w:t>
      </w:r>
      <w:r w:rsidR="006128DB">
        <w:t xml:space="preserve"> segment (s = base)</w:t>
      </w:r>
      <w:r w:rsidR="007A0E2E">
        <w:t>:</w:t>
      </w:r>
    </w:p>
    <w:p w14:paraId="39BEFC1C" w14:textId="01E79FFF" w:rsidR="00434158" w:rsidRDefault="00000000" w:rsidP="00AD26FA">
      <m:oMath>
        <m:sSubSup>
          <m:sSubSupPr>
            <m:ctrlPr>
              <w:rPr>
                <w:rFonts w:ascii="Cambria Math" w:hAnsi="Cambria Math"/>
                <w:i/>
                <w:iCs/>
                <w:color w:val="000000" w:themeColor="text1"/>
              </w:rPr>
            </m:ctrlPr>
          </m:sSubSupPr>
          <m:e>
            <m:r>
              <w:rPr>
                <w:rFonts w:ascii="Cambria Math" w:hAnsi="Cambria Math"/>
                <w:color w:val="000000" w:themeColor="text1"/>
              </w:rPr>
              <m:t>EF</m:t>
            </m:r>
          </m:e>
          <m:sub>
            <m:r>
              <w:rPr>
                <w:rFonts w:ascii="Cambria Math" w:hAnsi="Cambria Math"/>
                <w:color w:val="000000" w:themeColor="text1"/>
              </w:rPr>
              <m:t>OM, s=base</m:t>
            </m:r>
          </m:sub>
          <m:sup>
            <m:r>
              <w:rPr>
                <w:rFonts w:ascii="Cambria Math" w:hAnsi="Cambria Math"/>
                <w:color w:val="000000" w:themeColor="text1"/>
              </w:rPr>
              <m:t>var</m:t>
            </m:r>
          </m:sup>
        </m:sSubSup>
        <m:r>
          <w:rPr>
            <w:rFonts w:ascii="Cambria Math" w:hAnsi="Cambria Math"/>
            <w:color w:val="000000" w:themeColor="text1"/>
          </w:rPr>
          <m:t>=</m:t>
        </m:r>
        <m:sSubSup>
          <m:sSubSupPr>
            <m:ctrlPr>
              <w:rPr>
                <w:rFonts w:ascii="Cambria Math" w:hAnsi="Cambria Math"/>
                <w:i/>
                <w:iCs/>
                <w:color w:val="000000" w:themeColor="text1"/>
              </w:rPr>
            </m:ctrlPr>
          </m:sSubSupPr>
          <m:e>
            <m:f>
              <m:fPr>
                <m:ctrlPr>
                  <w:rPr>
                    <w:rFonts w:ascii="Cambria Math" w:hAnsi="Cambria Math"/>
                    <w:i/>
                    <w:iCs/>
                    <w:color w:val="000000" w:themeColor="text1"/>
                  </w:rPr>
                </m:ctrlPr>
              </m:fPr>
              <m:num>
                <m:sSubSup>
                  <m:sSubSupPr>
                    <m:ctrlPr>
                      <w:rPr>
                        <w:rFonts w:ascii="Cambria Math" w:hAnsi="Cambria Math"/>
                        <w:i/>
                        <w:iCs/>
                        <w:color w:val="000000" w:themeColor="text1"/>
                      </w:rPr>
                    </m:ctrlPr>
                  </m:sSubSupPr>
                  <m:e>
                    <m:r>
                      <w:rPr>
                        <w:rFonts w:ascii="Cambria Math" w:hAnsi="Cambria Math"/>
                        <w:color w:val="000000" w:themeColor="text1"/>
                      </w:rPr>
                      <m:t>$</m:t>
                    </m:r>
                  </m:e>
                  <m:sub>
                    <m:r>
                      <w:rPr>
                        <w:rFonts w:ascii="Cambria Math" w:hAnsi="Cambria Math"/>
                        <w:color w:val="000000" w:themeColor="text1"/>
                      </w:rPr>
                      <m:t>OM</m:t>
                    </m:r>
                  </m:sub>
                  <m:sup>
                    <m:r>
                      <w:rPr>
                        <w:rFonts w:ascii="Cambria Math" w:hAnsi="Cambria Math"/>
                        <w:color w:val="000000" w:themeColor="text1"/>
                      </w:rPr>
                      <m:t>var</m:t>
                    </m:r>
                  </m:sup>
                </m:sSubSup>
              </m:num>
              <m:den>
                <m:sSubSup>
                  <m:sSubSupPr>
                    <m:ctrlPr>
                      <w:rPr>
                        <w:rFonts w:ascii="Cambria Math" w:hAnsi="Cambria Math"/>
                        <w:i/>
                        <w:iCs/>
                        <w:color w:val="000000" w:themeColor="text1"/>
                      </w:rPr>
                    </m:ctrlPr>
                  </m:sSubSupPr>
                  <m:e>
                    <m:r>
                      <w:rPr>
                        <w:rFonts w:ascii="Cambria Math" w:hAnsi="Cambria Math"/>
                        <w:color w:val="000000" w:themeColor="text1"/>
                      </w:rPr>
                      <m:t>$</m:t>
                    </m:r>
                  </m:e>
                  <m:sub>
                    <m:r>
                      <w:rPr>
                        <w:rFonts w:ascii="Cambria Math" w:hAnsi="Cambria Math"/>
                        <w:color w:val="000000" w:themeColor="text1"/>
                      </w:rPr>
                      <m:t>OM</m:t>
                    </m:r>
                  </m:sub>
                  <m:sup>
                    <m:r>
                      <w:rPr>
                        <w:rFonts w:ascii="Cambria Math" w:hAnsi="Cambria Math"/>
                        <w:color w:val="000000" w:themeColor="text1"/>
                      </w:rPr>
                      <m:t>var</m:t>
                    </m:r>
                  </m:sup>
                </m:sSubSup>
                <m:r>
                  <w:rPr>
                    <w:rFonts w:ascii="Cambria Math" w:hAnsi="Cambria Math"/>
                    <w:color w:val="000000" w:themeColor="text1"/>
                  </w:rPr>
                  <m:t>+</m:t>
                </m:r>
                <m:sSubSup>
                  <m:sSubSupPr>
                    <m:ctrlPr>
                      <w:rPr>
                        <w:rFonts w:ascii="Cambria Math" w:hAnsi="Cambria Math"/>
                        <w:i/>
                        <w:iCs/>
                        <w:color w:val="000000" w:themeColor="text1"/>
                      </w:rPr>
                    </m:ctrlPr>
                  </m:sSubSupPr>
                  <m:e>
                    <m:r>
                      <w:rPr>
                        <w:rFonts w:ascii="Cambria Math" w:hAnsi="Cambria Math"/>
                        <w:color w:val="000000" w:themeColor="text1"/>
                      </w:rPr>
                      <m:t>$</m:t>
                    </m:r>
                  </m:e>
                  <m:sub>
                    <m:r>
                      <w:rPr>
                        <w:rFonts w:ascii="Cambria Math" w:hAnsi="Cambria Math"/>
                        <w:color w:val="000000" w:themeColor="text1"/>
                      </w:rPr>
                      <m:t>OM</m:t>
                    </m:r>
                  </m:sub>
                  <m:sup>
                    <m:r>
                      <w:rPr>
                        <w:rFonts w:ascii="Cambria Math" w:hAnsi="Cambria Math"/>
                        <w:color w:val="000000" w:themeColor="text1"/>
                      </w:rPr>
                      <m:t>fix</m:t>
                    </m:r>
                  </m:sup>
                </m:sSubSup>
              </m:den>
            </m:f>
            <m:r>
              <w:rPr>
                <w:rFonts w:ascii="Cambria Math" w:hAnsi="Cambria Math"/>
                <w:color w:val="000000" w:themeColor="text1"/>
              </w:rPr>
              <m:t>EF</m:t>
            </m:r>
          </m:e>
          <m:sub>
            <m:r>
              <w:rPr>
                <w:rFonts w:ascii="Cambria Math" w:hAnsi="Cambria Math"/>
                <w:color w:val="000000" w:themeColor="text1"/>
              </w:rPr>
              <m:t>OM</m:t>
            </m:r>
          </m:sub>
          <m:sup>
            <m:r>
              <w:rPr>
                <w:rFonts w:ascii="Cambria Math" w:hAnsi="Cambria Math"/>
                <w:color w:val="000000" w:themeColor="text1"/>
              </w:rPr>
              <m:t>JEDI</m:t>
            </m:r>
          </m:sup>
        </m:sSubSup>
      </m:oMath>
      <w:r w:rsidR="00325310">
        <w:rPr>
          <w:iCs/>
          <w:color w:val="000000" w:themeColor="text1"/>
        </w:rPr>
        <w:t xml:space="preserve"> </w:t>
      </w:r>
    </w:p>
    <w:p w14:paraId="3D0F1804" w14:textId="0D0FEC0D" w:rsidR="00325310" w:rsidRDefault="00000000" w:rsidP="00325310">
      <m:oMath>
        <m:sSubSup>
          <m:sSubSupPr>
            <m:ctrlPr>
              <w:rPr>
                <w:rFonts w:ascii="Cambria Math" w:hAnsi="Cambria Math"/>
                <w:i/>
                <w:iCs/>
                <w:color w:val="000000" w:themeColor="text1"/>
              </w:rPr>
            </m:ctrlPr>
          </m:sSubSupPr>
          <m:e>
            <m:r>
              <w:rPr>
                <w:rFonts w:ascii="Cambria Math" w:hAnsi="Cambria Math"/>
                <w:color w:val="000000" w:themeColor="text1"/>
              </w:rPr>
              <m:t>EF</m:t>
            </m:r>
          </m:e>
          <m:sub>
            <m:r>
              <w:rPr>
                <w:rFonts w:ascii="Cambria Math" w:hAnsi="Cambria Math"/>
                <w:color w:val="000000" w:themeColor="text1"/>
              </w:rPr>
              <m:t>OM, s=base</m:t>
            </m:r>
          </m:sub>
          <m:sup>
            <m:r>
              <w:rPr>
                <w:rFonts w:ascii="Cambria Math" w:hAnsi="Cambria Math"/>
                <w:color w:val="000000" w:themeColor="text1"/>
              </w:rPr>
              <m:t>fix</m:t>
            </m:r>
          </m:sup>
        </m:sSubSup>
        <m:r>
          <w:rPr>
            <w:rFonts w:ascii="Cambria Math" w:hAnsi="Cambria Math"/>
            <w:color w:val="000000" w:themeColor="text1"/>
          </w:rPr>
          <m:t>=</m:t>
        </m:r>
        <m:sSubSup>
          <m:sSubSupPr>
            <m:ctrlPr>
              <w:rPr>
                <w:rFonts w:ascii="Cambria Math" w:hAnsi="Cambria Math"/>
                <w:i/>
                <w:iCs/>
                <w:color w:val="000000" w:themeColor="text1"/>
              </w:rPr>
            </m:ctrlPr>
          </m:sSubSupPr>
          <m:e>
            <m:f>
              <m:fPr>
                <m:ctrlPr>
                  <w:rPr>
                    <w:rFonts w:ascii="Cambria Math" w:hAnsi="Cambria Math"/>
                    <w:i/>
                    <w:iCs/>
                    <w:color w:val="000000" w:themeColor="text1"/>
                  </w:rPr>
                </m:ctrlPr>
              </m:fPr>
              <m:num>
                <m:sSubSup>
                  <m:sSubSupPr>
                    <m:ctrlPr>
                      <w:rPr>
                        <w:rFonts w:ascii="Cambria Math" w:hAnsi="Cambria Math"/>
                        <w:i/>
                        <w:iCs/>
                        <w:color w:val="000000" w:themeColor="text1"/>
                      </w:rPr>
                    </m:ctrlPr>
                  </m:sSubSupPr>
                  <m:e>
                    <m:r>
                      <w:rPr>
                        <w:rFonts w:ascii="Cambria Math" w:hAnsi="Cambria Math"/>
                        <w:color w:val="000000" w:themeColor="text1"/>
                      </w:rPr>
                      <m:t>$</m:t>
                    </m:r>
                  </m:e>
                  <m:sub>
                    <m:r>
                      <w:rPr>
                        <w:rFonts w:ascii="Cambria Math" w:hAnsi="Cambria Math"/>
                        <w:color w:val="000000" w:themeColor="text1"/>
                      </w:rPr>
                      <m:t>OM</m:t>
                    </m:r>
                  </m:sub>
                  <m:sup>
                    <m:r>
                      <w:rPr>
                        <w:rFonts w:ascii="Cambria Math" w:hAnsi="Cambria Math"/>
                        <w:color w:val="000000" w:themeColor="text1"/>
                      </w:rPr>
                      <m:t>fix</m:t>
                    </m:r>
                  </m:sup>
                </m:sSubSup>
              </m:num>
              <m:den>
                <m:sSubSup>
                  <m:sSubSupPr>
                    <m:ctrlPr>
                      <w:rPr>
                        <w:rFonts w:ascii="Cambria Math" w:hAnsi="Cambria Math"/>
                        <w:i/>
                        <w:iCs/>
                        <w:color w:val="000000" w:themeColor="text1"/>
                      </w:rPr>
                    </m:ctrlPr>
                  </m:sSubSupPr>
                  <m:e>
                    <m:r>
                      <w:rPr>
                        <w:rFonts w:ascii="Cambria Math" w:hAnsi="Cambria Math"/>
                        <w:color w:val="000000" w:themeColor="text1"/>
                      </w:rPr>
                      <m:t>$</m:t>
                    </m:r>
                  </m:e>
                  <m:sub>
                    <m:r>
                      <w:rPr>
                        <w:rFonts w:ascii="Cambria Math" w:hAnsi="Cambria Math"/>
                        <w:color w:val="000000" w:themeColor="text1"/>
                      </w:rPr>
                      <m:t>OM</m:t>
                    </m:r>
                  </m:sub>
                  <m:sup>
                    <m:r>
                      <w:rPr>
                        <w:rFonts w:ascii="Cambria Math" w:hAnsi="Cambria Math"/>
                        <w:color w:val="000000" w:themeColor="text1"/>
                      </w:rPr>
                      <m:t>var</m:t>
                    </m:r>
                  </m:sup>
                </m:sSubSup>
                <m:r>
                  <w:rPr>
                    <w:rFonts w:ascii="Cambria Math" w:hAnsi="Cambria Math"/>
                    <w:color w:val="000000" w:themeColor="text1"/>
                  </w:rPr>
                  <m:t>+</m:t>
                </m:r>
                <m:sSubSup>
                  <m:sSubSupPr>
                    <m:ctrlPr>
                      <w:rPr>
                        <w:rFonts w:ascii="Cambria Math" w:hAnsi="Cambria Math"/>
                        <w:i/>
                        <w:iCs/>
                        <w:color w:val="000000" w:themeColor="text1"/>
                      </w:rPr>
                    </m:ctrlPr>
                  </m:sSubSupPr>
                  <m:e>
                    <m:r>
                      <w:rPr>
                        <w:rFonts w:ascii="Cambria Math" w:hAnsi="Cambria Math"/>
                        <w:color w:val="000000" w:themeColor="text1"/>
                      </w:rPr>
                      <m:t>$</m:t>
                    </m:r>
                  </m:e>
                  <m:sub>
                    <m:r>
                      <w:rPr>
                        <w:rFonts w:ascii="Cambria Math" w:hAnsi="Cambria Math"/>
                        <w:color w:val="000000" w:themeColor="text1"/>
                      </w:rPr>
                      <m:t>OM</m:t>
                    </m:r>
                  </m:sub>
                  <m:sup>
                    <m:r>
                      <w:rPr>
                        <w:rFonts w:ascii="Cambria Math" w:hAnsi="Cambria Math"/>
                        <w:color w:val="000000" w:themeColor="text1"/>
                      </w:rPr>
                      <m:t>fix</m:t>
                    </m:r>
                  </m:sup>
                </m:sSubSup>
              </m:den>
            </m:f>
            <m:r>
              <w:rPr>
                <w:rFonts w:ascii="Cambria Math" w:hAnsi="Cambria Math"/>
                <w:color w:val="000000" w:themeColor="text1"/>
              </w:rPr>
              <m:t>EF</m:t>
            </m:r>
          </m:e>
          <m:sub>
            <m:r>
              <w:rPr>
                <w:rFonts w:ascii="Cambria Math" w:hAnsi="Cambria Math"/>
                <w:color w:val="000000" w:themeColor="text1"/>
              </w:rPr>
              <m:t>OM</m:t>
            </m:r>
          </m:sub>
          <m:sup>
            <m:r>
              <w:rPr>
                <w:rFonts w:ascii="Cambria Math" w:hAnsi="Cambria Math"/>
                <w:color w:val="000000" w:themeColor="text1"/>
              </w:rPr>
              <m:t>JEDI</m:t>
            </m:r>
          </m:sup>
        </m:sSubSup>
      </m:oMath>
      <w:r w:rsidR="00325310">
        <w:rPr>
          <w:iCs/>
          <w:color w:val="000000" w:themeColor="text1"/>
        </w:rPr>
        <w:t xml:space="preserve"> </w:t>
      </w:r>
    </w:p>
    <w:p w14:paraId="481FA1D7" w14:textId="5D2FC8F0" w:rsidR="00434158" w:rsidRDefault="008E6463" w:rsidP="00AD26FA">
      <w:r>
        <w:t>and for non-base load segments (s != base)</w:t>
      </w:r>
      <w:r w:rsidR="007A0E2E">
        <w:t>:</w:t>
      </w:r>
    </w:p>
    <w:p w14:paraId="7565038C" w14:textId="6F037E0F" w:rsidR="008E6463" w:rsidRDefault="00000000" w:rsidP="00AD26FA">
      <w:pPr>
        <w:rPr>
          <w:iCs/>
          <w:color w:val="000000" w:themeColor="text1"/>
        </w:rPr>
      </w:pPr>
      <m:oMath>
        <m:sSubSup>
          <m:sSubSupPr>
            <m:ctrlPr>
              <w:rPr>
                <w:rFonts w:ascii="Cambria Math" w:hAnsi="Cambria Math"/>
                <w:i/>
                <w:iCs/>
                <w:color w:val="000000" w:themeColor="text1"/>
              </w:rPr>
            </m:ctrlPr>
          </m:sSubSupPr>
          <m:e>
            <m:r>
              <w:rPr>
                <w:rFonts w:ascii="Cambria Math" w:hAnsi="Cambria Math"/>
                <w:color w:val="000000" w:themeColor="text1"/>
              </w:rPr>
              <m:t>EF</m:t>
            </m:r>
          </m:e>
          <m:sub>
            <m:r>
              <w:rPr>
                <w:rFonts w:ascii="Cambria Math" w:hAnsi="Cambria Math"/>
                <w:color w:val="000000" w:themeColor="text1"/>
              </w:rPr>
              <m:t>OM, s</m:t>
            </m:r>
          </m:sub>
          <m:sup>
            <m:r>
              <w:rPr>
                <w:rFonts w:ascii="Cambria Math" w:hAnsi="Cambria Math"/>
                <w:color w:val="000000" w:themeColor="text1"/>
              </w:rPr>
              <m:t>var</m:t>
            </m:r>
          </m:sup>
        </m:sSubSup>
        <m:r>
          <w:rPr>
            <w:rFonts w:ascii="Cambria Math" w:hAnsi="Cambria Math"/>
            <w:color w:val="000000" w:themeColor="text1"/>
          </w:rPr>
          <m:t>=</m:t>
        </m:r>
        <m:f>
          <m:fPr>
            <m:ctrlPr>
              <w:rPr>
                <w:rFonts w:ascii="Cambria Math" w:hAnsi="Cambria Math"/>
                <w:i/>
                <w:iCs/>
                <w:color w:val="000000" w:themeColor="text1"/>
              </w:rPr>
            </m:ctrlPr>
          </m:fPr>
          <m:num>
            <m:sSub>
              <m:sSubPr>
                <m:ctrlPr>
                  <w:rPr>
                    <w:rFonts w:ascii="Cambria Math" w:hAnsi="Cambria Math"/>
                    <w:i/>
                    <w:iCs/>
                    <w:color w:val="000000" w:themeColor="text1"/>
                  </w:rPr>
                </m:ctrlPr>
              </m:sSubPr>
              <m:e>
                <m:r>
                  <w:rPr>
                    <w:rFonts w:ascii="Cambria Math" w:hAnsi="Cambria Math"/>
                    <w:color w:val="000000" w:themeColor="text1"/>
                  </w:rPr>
                  <m:t>CF</m:t>
                </m:r>
              </m:e>
              <m:sub>
                <m:r>
                  <w:rPr>
                    <w:rFonts w:ascii="Cambria Math" w:hAnsi="Cambria Math"/>
                    <w:color w:val="000000" w:themeColor="text1"/>
                  </w:rPr>
                  <m:t>s</m:t>
                </m:r>
              </m:sub>
            </m:sSub>
          </m:num>
          <m:den>
            <m:sSub>
              <m:sSubPr>
                <m:ctrlPr>
                  <w:rPr>
                    <w:rFonts w:ascii="Cambria Math" w:hAnsi="Cambria Math"/>
                    <w:i/>
                    <w:iCs/>
                    <w:color w:val="000000" w:themeColor="text1"/>
                  </w:rPr>
                </m:ctrlPr>
              </m:sSubPr>
              <m:e>
                <m:r>
                  <w:rPr>
                    <w:rFonts w:ascii="Cambria Math" w:hAnsi="Cambria Math"/>
                    <w:color w:val="000000" w:themeColor="text1"/>
                  </w:rPr>
                  <m:t>CF</m:t>
                </m:r>
              </m:e>
              <m:sub>
                <m:r>
                  <w:rPr>
                    <w:rFonts w:ascii="Cambria Math" w:hAnsi="Cambria Math"/>
                    <w:color w:val="000000" w:themeColor="text1"/>
                  </w:rPr>
                  <m:t>base</m:t>
                </m:r>
              </m:sub>
            </m:sSub>
          </m:den>
        </m:f>
        <m:sSubSup>
          <m:sSubSupPr>
            <m:ctrlPr>
              <w:rPr>
                <w:rFonts w:ascii="Cambria Math" w:hAnsi="Cambria Math"/>
                <w:i/>
                <w:iCs/>
                <w:color w:val="000000" w:themeColor="text1"/>
              </w:rPr>
            </m:ctrlPr>
          </m:sSubSupPr>
          <m:e>
            <m:r>
              <w:rPr>
                <w:rFonts w:ascii="Cambria Math" w:hAnsi="Cambria Math"/>
                <w:color w:val="000000" w:themeColor="text1"/>
              </w:rPr>
              <m:t>EF</m:t>
            </m:r>
          </m:e>
          <m:sub>
            <m:r>
              <w:rPr>
                <w:rFonts w:ascii="Cambria Math" w:hAnsi="Cambria Math"/>
                <w:color w:val="000000" w:themeColor="text1"/>
              </w:rPr>
              <m:t>OM, base</m:t>
            </m:r>
          </m:sub>
          <m:sup>
            <m:r>
              <w:rPr>
                <w:rFonts w:ascii="Cambria Math" w:hAnsi="Cambria Math"/>
                <w:color w:val="000000" w:themeColor="text1"/>
              </w:rPr>
              <m:t>var</m:t>
            </m:r>
          </m:sup>
        </m:sSubSup>
      </m:oMath>
      <w:r w:rsidR="008E6463">
        <w:rPr>
          <w:iCs/>
          <w:color w:val="000000" w:themeColor="text1"/>
        </w:rPr>
        <w:t xml:space="preserve"> </w:t>
      </w:r>
    </w:p>
    <w:p w14:paraId="065E7E1D" w14:textId="7C60D605" w:rsidR="008E6463" w:rsidRDefault="00000000" w:rsidP="008E6463">
      <m:oMath>
        <m:sSubSup>
          <m:sSubSupPr>
            <m:ctrlPr>
              <w:rPr>
                <w:rFonts w:ascii="Cambria Math" w:hAnsi="Cambria Math"/>
                <w:i/>
                <w:iCs/>
                <w:color w:val="000000" w:themeColor="text1"/>
              </w:rPr>
            </m:ctrlPr>
          </m:sSubSupPr>
          <m:e>
            <m:r>
              <w:rPr>
                <w:rFonts w:ascii="Cambria Math" w:hAnsi="Cambria Math"/>
                <w:color w:val="000000" w:themeColor="text1"/>
              </w:rPr>
              <m:t>EF</m:t>
            </m:r>
          </m:e>
          <m:sub>
            <m:r>
              <w:rPr>
                <w:rFonts w:ascii="Cambria Math" w:hAnsi="Cambria Math"/>
                <w:color w:val="000000" w:themeColor="text1"/>
              </w:rPr>
              <m:t>OM, s</m:t>
            </m:r>
          </m:sub>
          <m:sup>
            <m:r>
              <w:rPr>
                <w:rFonts w:ascii="Cambria Math" w:hAnsi="Cambria Math"/>
                <w:color w:val="000000" w:themeColor="text1"/>
              </w:rPr>
              <m:t>fix</m:t>
            </m:r>
          </m:sup>
        </m:sSubSup>
        <m:r>
          <w:rPr>
            <w:rFonts w:ascii="Cambria Math" w:hAnsi="Cambria Math"/>
            <w:color w:val="000000" w:themeColor="text1"/>
          </w:rPr>
          <m:t>=</m:t>
        </m:r>
        <m:sSubSup>
          <m:sSubSupPr>
            <m:ctrlPr>
              <w:rPr>
                <w:rFonts w:ascii="Cambria Math" w:hAnsi="Cambria Math"/>
                <w:i/>
                <w:iCs/>
                <w:color w:val="000000" w:themeColor="text1"/>
              </w:rPr>
            </m:ctrlPr>
          </m:sSubSupPr>
          <m:e>
            <m:r>
              <w:rPr>
                <w:rFonts w:ascii="Cambria Math" w:hAnsi="Cambria Math"/>
                <w:color w:val="000000" w:themeColor="text1"/>
              </w:rPr>
              <m:t>EF</m:t>
            </m:r>
          </m:e>
          <m:sub>
            <m:r>
              <w:rPr>
                <w:rFonts w:ascii="Cambria Math" w:hAnsi="Cambria Math"/>
                <w:color w:val="000000" w:themeColor="text1"/>
              </w:rPr>
              <m:t>OM, base</m:t>
            </m:r>
          </m:sub>
          <m:sup>
            <m:r>
              <w:rPr>
                <w:rFonts w:ascii="Cambria Math" w:hAnsi="Cambria Math"/>
                <w:color w:val="000000" w:themeColor="text1"/>
              </w:rPr>
              <m:t>fix</m:t>
            </m:r>
          </m:sup>
        </m:sSubSup>
      </m:oMath>
      <w:r w:rsidR="008E6463">
        <w:rPr>
          <w:iCs/>
          <w:color w:val="000000" w:themeColor="text1"/>
        </w:rPr>
        <w:t xml:space="preserve"> </w:t>
      </w:r>
    </w:p>
    <w:p w14:paraId="6D40E234" w14:textId="088C16AE" w:rsidR="0086040F" w:rsidRDefault="0086040F" w:rsidP="0086040F">
      <w:pPr>
        <w:pStyle w:val="Heading3"/>
      </w:pPr>
      <w:bookmarkStart w:id="37" w:name="_Ref177565555"/>
      <w:bookmarkStart w:id="38" w:name="_Toc178345353"/>
      <w:r>
        <w:t>3.</w:t>
      </w:r>
      <w:r w:rsidR="004527CE">
        <w:t>3</w:t>
      </w:r>
      <w:r>
        <w:t xml:space="preserve">.2 </w:t>
      </w:r>
      <w:r w:rsidR="00A62F17">
        <w:t xml:space="preserve">Annual construction </w:t>
      </w:r>
      <w:r>
        <w:t>job EF</w:t>
      </w:r>
      <w:bookmarkEnd w:id="37"/>
      <w:bookmarkEnd w:id="38"/>
      <w:r>
        <w:t xml:space="preserve"> </w:t>
      </w:r>
    </w:p>
    <w:p w14:paraId="1DE3A5F4" w14:textId="00ADFE92" w:rsidR="0001085C" w:rsidRDefault="00351D8D" w:rsidP="005C436E">
      <w:r>
        <w:t xml:space="preserve">JEDI’s construction </w:t>
      </w:r>
      <w:r w:rsidR="00617955">
        <w:t>jobs</w:t>
      </w:r>
      <w:r>
        <w:t xml:space="preserve"> </w:t>
      </w:r>
      <w:r w:rsidR="00CB4804">
        <w:t xml:space="preserve">of a specified project </w:t>
      </w:r>
      <w:r w:rsidR="0001085C">
        <w:t xml:space="preserve">type </w:t>
      </w:r>
      <w:r w:rsidR="005E2F8D">
        <w:t>is</w:t>
      </w:r>
      <w:r>
        <w:t xml:space="preserve"> </w:t>
      </w:r>
      <w:r w:rsidR="00C15D6D">
        <w:t>measured in</w:t>
      </w:r>
      <w:r w:rsidR="0001085C">
        <w:t xml:space="preserve"> total</w:t>
      </w:r>
      <w:r>
        <w:t xml:space="preserve"> full-time </w:t>
      </w:r>
      <w:r w:rsidR="00617955">
        <w:t>equivalents</w:t>
      </w:r>
      <w:r>
        <w:t xml:space="preserve"> </w:t>
      </w:r>
      <w:r w:rsidR="0001085C">
        <w:t xml:space="preserve">over </w:t>
      </w:r>
      <w:r>
        <w:t>the construction period</w:t>
      </w:r>
      <w:r w:rsidR="0001085C">
        <w:t xml:space="preserve">, where a “full-time equivalent” is defined as one person working </w:t>
      </w:r>
      <w:r w:rsidR="005E2F8D">
        <w:t>full-time</w:t>
      </w:r>
      <w:r w:rsidR="0001085C">
        <w:t xml:space="preserve"> for one year</w:t>
      </w:r>
      <w:r>
        <w:t xml:space="preserve">. For example, if </w:t>
      </w:r>
      <w:r w:rsidR="007C3C94">
        <w:t>it takes</w:t>
      </w:r>
      <w:r>
        <w:t xml:space="preserve"> 2 years </w:t>
      </w:r>
      <w:r w:rsidR="00446238">
        <w:t>and 40 full-time-equivalent</w:t>
      </w:r>
      <w:r w:rsidR="0001085C">
        <w:t>s</w:t>
      </w:r>
      <w:r w:rsidR="00446238">
        <w:t xml:space="preserve"> </w:t>
      </w:r>
      <w:r>
        <w:t>to build</w:t>
      </w:r>
      <w:r w:rsidR="007C3C94">
        <w:t xml:space="preserve"> </w:t>
      </w:r>
      <w:r w:rsidR="00336E9D">
        <w:t>a</w:t>
      </w:r>
      <w:r w:rsidR="004B7E20">
        <w:t xml:space="preserve"> </w:t>
      </w:r>
      <w:r w:rsidR="00792D06">
        <w:t>project</w:t>
      </w:r>
      <w:r w:rsidR="004B7E20">
        <w:t xml:space="preserve"> with a capacity level of </w:t>
      </w:r>
      <w:r w:rsidR="004C3BF9">
        <w:t>one</w:t>
      </w:r>
      <w:r w:rsidR="004B7E20">
        <w:t xml:space="preserve"> MW</w:t>
      </w:r>
      <w:r>
        <w:t xml:space="preserve">, it means 20 annual (full-time) </w:t>
      </w:r>
      <w:r w:rsidR="00F35FB6">
        <w:t>jobs</w:t>
      </w:r>
      <w:r>
        <w:t xml:space="preserve"> for 2 years. </w:t>
      </w:r>
      <w:r w:rsidR="00450D60">
        <w:t xml:space="preserve">Define the construction period of a project </w:t>
      </w:r>
      <w:r w:rsidR="002508C3">
        <w:t>as</w:t>
      </w:r>
      <w:r w:rsidR="00450D60">
        <w:t xml:space="preserve"> T, the JEDI reported construction job</w:t>
      </w:r>
      <w:r w:rsidR="002508C3">
        <w:t>s</w:t>
      </w:r>
      <w:r w:rsidR="00450D60">
        <w:t xml:space="preserve"> (full-time-equivalents)</w:t>
      </w:r>
      <w:r w:rsidR="002508C3">
        <w:t xml:space="preserve"> as </w:t>
      </w:r>
      <w:r w:rsidR="00450D60">
        <w:t>N</w:t>
      </w:r>
      <w:r w:rsidR="0001085C">
        <w:t>, and the project capacity as C, then the annual construction EF is simply N/(TC)</w:t>
      </w:r>
      <w:r w:rsidR="00A77D43">
        <w:t>.</w:t>
      </w:r>
      <w:r w:rsidR="00450D60">
        <w:t xml:space="preserve"> </w:t>
      </w:r>
    </w:p>
    <w:p w14:paraId="3B261D38" w14:textId="18DEBF37" w:rsidR="009A5245" w:rsidRDefault="0001085C" w:rsidP="005C436E">
      <w:r>
        <w:t xml:space="preserve">However, </w:t>
      </w:r>
      <w:r w:rsidR="00351D8D">
        <w:t>GCAM-USA runs every 5 years by default,</w:t>
      </w:r>
      <w:r>
        <w:t xml:space="preserve"> so in some instances</w:t>
      </w:r>
      <w:r w:rsidR="005E2F8D">
        <w:t>,</w:t>
      </w:r>
      <w:r>
        <w:t xml:space="preserve"> adjustments need to be made.</w:t>
      </w:r>
      <w:r w:rsidR="00351D8D">
        <w:t xml:space="preserve"> </w:t>
      </w:r>
      <w:r>
        <w:t>In the simple case of a</w:t>
      </w:r>
      <w:r w:rsidR="005C436E">
        <w:t xml:space="preserve"> construction period no greater than 5 years (T &lt;= 5), then the </w:t>
      </w:r>
      <w:r>
        <w:t xml:space="preserve">annual </w:t>
      </w:r>
      <w:r w:rsidR="005C436E">
        <w:t xml:space="preserve">construction </w:t>
      </w:r>
      <w:r w:rsidR="005F6AAD">
        <w:t>EF</w:t>
      </w:r>
      <w:r w:rsidR="005C436E">
        <w:t xml:space="preserve"> is N / 5</w:t>
      </w:r>
      <w:r>
        <w:t>C jobs per MW. I</w:t>
      </w:r>
      <w:r w:rsidR="005C436E">
        <w:t xml:space="preserve">f T &gt; 5, then </w:t>
      </w:r>
      <w:r w:rsidR="005E2F8D">
        <w:t xml:space="preserve">the </w:t>
      </w:r>
      <w:r w:rsidR="005C436E">
        <w:t>annual construction EF between t-4 and t is N / T</w:t>
      </w:r>
      <w:r>
        <w:t>C</w:t>
      </w:r>
      <w:r w:rsidR="005C436E">
        <w:t xml:space="preserve">, and the rest of </w:t>
      </w:r>
      <w:r>
        <w:t xml:space="preserve">the </w:t>
      </w:r>
      <w:r w:rsidR="005C436E">
        <w:t>construction job</w:t>
      </w:r>
      <w:r>
        <w:t>s</w:t>
      </w:r>
      <w:r w:rsidR="005C436E">
        <w:t xml:space="preserve"> </w:t>
      </w:r>
      <w:r>
        <w:t>are</w:t>
      </w:r>
      <w:r w:rsidR="005C436E">
        <w:t xml:space="preserve"> assigned to the previous model period</w:t>
      </w:r>
      <w:r w:rsidR="00771E9E">
        <w:t xml:space="preserve"> (</w:t>
      </w:r>
      <w:r w:rsidR="00685EAC">
        <w:t xml:space="preserve">from </w:t>
      </w:r>
      <w:r w:rsidR="00771E9E">
        <w:t>t-9</w:t>
      </w:r>
      <w:r w:rsidR="00685EAC">
        <w:t xml:space="preserve"> to</w:t>
      </w:r>
      <w:r w:rsidR="00771E9E">
        <w:t xml:space="preserve"> t-5)</w:t>
      </w:r>
      <w:r w:rsidR="005C436E">
        <w:t>, with a</w:t>
      </w:r>
      <w:r>
        <w:t>n EF of</w:t>
      </w:r>
      <w:r w:rsidR="005C436E">
        <w:t xml:space="preserve"> N*(T-5) / (5</w:t>
      </w:r>
      <w:r w:rsidR="00650488">
        <w:t>T</w:t>
      </w:r>
      <w:r>
        <w:t>C</w:t>
      </w:r>
      <w:r w:rsidR="005C436E">
        <w:t>).</w:t>
      </w:r>
    </w:p>
    <w:p w14:paraId="51801A4C" w14:textId="36DDA020" w:rsidR="009A5245" w:rsidRDefault="009A5245" w:rsidP="005C436E">
      <w:r>
        <w:lastRenderedPageBreak/>
        <w:t>For example, in the case of nuclear capacity construction, due to the absence of specific construction period data from JEDI, we assume an 8-year construction period based on NREL ATB data</w:t>
      </w:r>
      <w:r w:rsidR="00B600CD">
        <w:fldChar w:fldCharType="begin"/>
      </w:r>
      <w:r w:rsidR="003242C5">
        <w:instrText xml:space="preserve"> ADDIN ZOTERO_ITEM CSL_CITATION {"citationID":"fojUFUmW","properties":{"formattedCitation":"\\super 4\\nosupersub{}","plainCitation":"4","noteIndex":0},"citationItems":[{"id":7077,"uris":["http://zotero.org/users/9896081/items/T3LCXS4C"],"itemData":{"id":7077,"type":"webpage","title":"2019 Annual Technology Baseline","URL":"https://atb.nrel.gov/electricity/2019","author":[{"family":"NREL","given":""}]}}],"schema":"https://github.com/citation-style-language/schema/raw/master/csl-citation.json"} </w:instrText>
      </w:r>
      <w:r w:rsidR="00B600CD">
        <w:fldChar w:fldCharType="separate"/>
      </w:r>
      <w:r w:rsidR="00B600CD" w:rsidRPr="00B600CD">
        <w:rPr>
          <w:rFonts w:ascii="Calibri" w:hAnsi="Calibri" w:cs="Calibri"/>
          <w:szCs w:val="24"/>
          <w:vertAlign w:val="superscript"/>
        </w:rPr>
        <w:t>4</w:t>
      </w:r>
      <w:r w:rsidR="00B600CD">
        <w:fldChar w:fldCharType="end"/>
      </w:r>
      <w:r>
        <w:t>. Define the annual construction EF for nuclear as γ (</w:t>
      </w:r>
      <w:r w:rsidR="0001085C">
        <w:t>jobs</w:t>
      </w:r>
      <w:r>
        <w:t>/MW). If GCAM</w:t>
      </w:r>
      <w:r w:rsidR="00127235">
        <w:t>-USA</w:t>
      </w:r>
      <w:r>
        <w:t xml:space="preserve"> suggests a 10 MW nuclear capacity addition in 2050, this capacity addition would create 10γ</w:t>
      </w:r>
      <w:r w:rsidR="00031120">
        <w:t xml:space="preserve"> annual</w:t>
      </w:r>
      <w:r>
        <w:t xml:space="preserve"> </w:t>
      </w:r>
      <w:r w:rsidR="00DC17A3">
        <w:t xml:space="preserve">construction </w:t>
      </w:r>
      <w:r>
        <w:t xml:space="preserve">jobs from 2046 to 2050, and </w:t>
      </w:r>
      <w:r w:rsidR="00DC17A3">
        <w:t xml:space="preserve">an </w:t>
      </w:r>
      <w:r>
        <w:t xml:space="preserve">additional </w:t>
      </w:r>
      <w:r w:rsidR="005A1A5F">
        <w:t>10</w:t>
      </w:r>
      <m:oMath>
        <m:r>
          <w:rPr>
            <w:rFonts w:ascii="Cambria Math" w:hAnsi="Cambria Math"/>
          </w:rPr>
          <m:t>γ(</m:t>
        </m:r>
        <m:f>
          <m:fPr>
            <m:ctrlPr>
              <w:rPr>
                <w:rFonts w:ascii="Cambria Math" w:hAnsi="Cambria Math"/>
                <w:i/>
              </w:rPr>
            </m:ctrlPr>
          </m:fPr>
          <m:num>
            <m:r>
              <w:rPr>
                <w:rFonts w:ascii="Cambria Math" w:hAnsi="Cambria Math"/>
              </w:rPr>
              <m:t>8-5</m:t>
            </m:r>
          </m:num>
          <m:den>
            <m:r>
              <w:rPr>
                <w:rFonts w:ascii="Cambria Math" w:hAnsi="Cambria Math"/>
              </w:rPr>
              <m:t>5</m:t>
            </m:r>
          </m:den>
        </m:f>
        <m:r>
          <w:rPr>
            <w:rFonts w:ascii="Cambria Math" w:hAnsi="Cambria Math"/>
          </w:rPr>
          <m:t>)</m:t>
        </m:r>
      </m:oMath>
      <w:r w:rsidR="005A1A5F">
        <w:t xml:space="preserve"> </w:t>
      </w:r>
      <w:r w:rsidR="00DC17A3">
        <w:t xml:space="preserve">annual construction jobs </w:t>
      </w:r>
      <w:r>
        <w:t>from 2041 to 2045.</w:t>
      </w:r>
    </w:p>
    <w:p w14:paraId="76EB3243" w14:textId="498F9D22" w:rsidR="00D40719" w:rsidRDefault="00022CD2" w:rsidP="00D40719">
      <w:pPr>
        <w:pStyle w:val="Heading1"/>
      </w:pPr>
      <w:bookmarkStart w:id="39" w:name="_Toc178345354"/>
      <w:r>
        <w:t>4</w:t>
      </w:r>
      <w:r w:rsidR="00D40719">
        <w:t>. Output of the package</w:t>
      </w:r>
      <w:bookmarkEnd w:id="39"/>
    </w:p>
    <w:p w14:paraId="62443ACD" w14:textId="345A5385" w:rsidR="003C2CFC" w:rsidRPr="00581F0B" w:rsidRDefault="003C2CFC" w:rsidP="003C2CFC">
      <w:pPr>
        <w:rPr>
          <w:rFonts w:cstheme="minorHAnsi"/>
          <w:color w:val="333333"/>
          <w:shd w:val="clear" w:color="auto" w:fill="FFFFFF"/>
        </w:rPr>
      </w:pPr>
      <w:r w:rsidRPr="00581F0B">
        <w:rPr>
          <w:rFonts w:cstheme="minorHAnsi"/>
          <w:color w:val="333333"/>
          <w:shd w:val="clear" w:color="auto" w:fill="FFFFFF"/>
        </w:rPr>
        <w:t>The outputs of this package consist of several data frames and plots. The function GCAM_EJ() takes the GCAM</w:t>
      </w:r>
      <w:r w:rsidR="00DF1D83" w:rsidRPr="00581F0B">
        <w:rPr>
          <w:rFonts w:cstheme="minorHAnsi"/>
          <w:color w:val="333333"/>
          <w:shd w:val="clear" w:color="auto" w:fill="FFFFFF"/>
        </w:rPr>
        <w:t>-USA</w:t>
      </w:r>
      <w:r w:rsidRPr="00581F0B">
        <w:rPr>
          <w:rFonts w:cstheme="minorHAnsi"/>
          <w:color w:val="333333"/>
          <w:shd w:val="clear" w:color="auto" w:fill="FFFFFF"/>
        </w:rPr>
        <w:t xml:space="preserve"> output as input and produces the average annual power generation output, disaggregated by state, fuel type, technology</w:t>
      </w:r>
      <w:r w:rsidR="004913B2" w:rsidRPr="00581F0B">
        <w:rPr>
          <w:rFonts w:cstheme="minorHAnsi"/>
          <w:color w:val="333333"/>
          <w:shd w:val="clear" w:color="auto" w:fill="FFFFFF"/>
        </w:rPr>
        <w:t>, and activity</w:t>
      </w:r>
      <w:r w:rsidRPr="00581F0B">
        <w:rPr>
          <w:rFonts w:cstheme="minorHAnsi"/>
          <w:color w:val="333333"/>
          <w:shd w:val="clear" w:color="auto" w:fill="FFFFFF"/>
        </w:rPr>
        <w:t xml:space="preserve">. The function GCAM_GW() processes the output of GCAM_EJ() to calculate the average annual capacity levels by state, fuel type, and technology for different activities such as operation, addition, and retirement, supporting both the “Total” and “Net” methods. The GCAM_JOB() function then utilizes the output from GCAM_GW() to generate the average annual job estimates, broken down by </w:t>
      </w:r>
      <w:r w:rsidR="0001085C" w:rsidRPr="00581F0B">
        <w:rPr>
          <w:rFonts w:cstheme="minorHAnsi"/>
          <w:color w:val="333333"/>
          <w:shd w:val="clear" w:color="auto" w:fill="FFFFFF"/>
        </w:rPr>
        <w:t xml:space="preserve">state, </w:t>
      </w:r>
      <w:r w:rsidRPr="00581F0B">
        <w:rPr>
          <w:rFonts w:cstheme="minorHAnsi"/>
          <w:color w:val="333333"/>
          <w:shd w:val="clear" w:color="auto" w:fill="FFFFFF"/>
        </w:rPr>
        <w:t xml:space="preserve">fuel type and job </w:t>
      </w:r>
      <w:r w:rsidR="009F2510" w:rsidRPr="00581F0B">
        <w:rPr>
          <w:rFonts w:cstheme="minorHAnsi"/>
          <w:color w:val="333333"/>
          <w:shd w:val="clear" w:color="auto" w:fill="FFFFFF"/>
        </w:rPr>
        <w:t>type</w:t>
      </w:r>
      <w:r w:rsidRPr="00581F0B">
        <w:rPr>
          <w:rFonts w:cstheme="minorHAnsi"/>
          <w:color w:val="333333"/>
          <w:shd w:val="clear" w:color="auto" w:fill="FFFFFF"/>
        </w:rPr>
        <w:t>. Users can select between the "Total" or "Net" method, with "Total" as the default.</w:t>
      </w:r>
    </w:p>
    <w:p w14:paraId="6E90BD43" w14:textId="0142F10D" w:rsidR="003C2CFC" w:rsidRPr="00581F0B" w:rsidRDefault="007E38D6" w:rsidP="003C2CFC">
      <w:pPr>
        <w:rPr>
          <w:rFonts w:cstheme="minorHAnsi"/>
          <w:color w:val="333333"/>
          <w:shd w:val="clear" w:color="auto" w:fill="FFFFFF"/>
        </w:rPr>
      </w:pPr>
      <w:r w:rsidRPr="00581F0B">
        <w:rPr>
          <w:rFonts w:cstheme="minorHAnsi"/>
          <w:color w:val="333333"/>
          <w:shd w:val="clear" w:color="auto" w:fill="FFFFFF"/>
        </w:rPr>
        <w:t>For visualization, PLOT_EF() produces a plot of the annual average employment factor</w:t>
      </w:r>
      <w:r w:rsidR="0001085C" w:rsidRPr="00581F0B">
        <w:rPr>
          <w:rFonts w:cstheme="minorHAnsi"/>
          <w:color w:val="333333"/>
          <w:shd w:val="clear" w:color="auto" w:fill="FFFFFF"/>
        </w:rPr>
        <w:t>s</w:t>
      </w:r>
      <w:r w:rsidRPr="00581F0B">
        <w:rPr>
          <w:rFonts w:cstheme="minorHAnsi"/>
          <w:color w:val="333333"/>
          <w:shd w:val="clear" w:color="auto" w:fill="FFFFFF"/>
        </w:rPr>
        <w:t xml:space="preserve"> (EF) during the project perio</w:t>
      </w:r>
      <w:r w:rsidR="00013A1C" w:rsidRPr="00581F0B">
        <w:rPr>
          <w:rFonts w:cstheme="minorHAnsi"/>
          <w:color w:val="333333"/>
          <w:shd w:val="clear" w:color="auto" w:fill="FFFFFF"/>
        </w:rPr>
        <w:t>d,</w:t>
      </w:r>
      <w:r w:rsidRPr="00581F0B">
        <w:rPr>
          <w:rFonts w:cstheme="minorHAnsi"/>
          <w:color w:val="333333"/>
          <w:shd w:val="clear" w:color="auto" w:fill="FFFFFF"/>
        </w:rPr>
        <w:t xml:space="preserve"> assuming that decommissioning projects for all fuel types span five years.</w:t>
      </w:r>
      <w:r w:rsidR="00013A1C" w:rsidRPr="00581F0B">
        <w:rPr>
          <w:rFonts w:cstheme="minorHAnsi"/>
          <w:color w:val="333333"/>
          <w:shd w:val="clear" w:color="auto" w:fill="FFFFFF"/>
        </w:rPr>
        <w:t xml:space="preserve"> </w:t>
      </w:r>
      <w:r w:rsidR="001C32D4" w:rsidRPr="00581F0B">
        <w:rPr>
          <w:rFonts w:cstheme="minorHAnsi"/>
          <w:color w:val="333333"/>
          <w:shd w:val="clear" w:color="auto" w:fill="FFFFFF"/>
        </w:rPr>
        <w:t xml:space="preserve">The construction project period varies across fuel </w:t>
      </w:r>
      <w:r w:rsidR="002910EA" w:rsidRPr="00581F0B">
        <w:rPr>
          <w:rFonts w:cstheme="minorHAnsi"/>
          <w:color w:val="333333"/>
          <w:shd w:val="clear" w:color="auto" w:fill="FFFFFF"/>
        </w:rPr>
        <w:t>types</w:t>
      </w:r>
      <w:r w:rsidR="001C32D4" w:rsidRPr="00581F0B">
        <w:rPr>
          <w:rFonts w:cstheme="minorHAnsi"/>
          <w:color w:val="333333"/>
          <w:shd w:val="clear" w:color="auto" w:fill="FFFFFF"/>
        </w:rPr>
        <w:t xml:space="preserve">, and O&amp;M </w:t>
      </w:r>
      <w:r w:rsidR="001A0365" w:rsidRPr="00581F0B">
        <w:rPr>
          <w:rFonts w:cstheme="minorHAnsi"/>
          <w:color w:val="333333"/>
          <w:shd w:val="clear" w:color="auto" w:fill="FFFFFF"/>
        </w:rPr>
        <w:t xml:space="preserve">EF </w:t>
      </w:r>
      <w:r w:rsidR="001C32D4" w:rsidRPr="00581F0B">
        <w:rPr>
          <w:rFonts w:cstheme="minorHAnsi"/>
          <w:color w:val="333333"/>
          <w:shd w:val="clear" w:color="auto" w:fill="FFFFFF"/>
        </w:rPr>
        <w:t xml:space="preserve">by default is on </w:t>
      </w:r>
      <w:r w:rsidR="001A0365" w:rsidRPr="00581F0B">
        <w:rPr>
          <w:rFonts w:cstheme="minorHAnsi"/>
          <w:color w:val="333333"/>
          <w:shd w:val="clear" w:color="auto" w:fill="FFFFFF"/>
        </w:rPr>
        <w:t xml:space="preserve">an </w:t>
      </w:r>
      <w:r w:rsidR="001C32D4" w:rsidRPr="00581F0B">
        <w:rPr>
          <w:rFonts w:cstheme="minorHAnsi"/>
          <w:color w:val="333333"/>
          <w:shd w:val="clear" w:color="auto" w:fill="FFFFFF"/>
        </w:rPr>
        <w:t>annual bas</w:t>
      </w:r>
      <w:r w:rsidR="0001085C" w:rsidRPr="00581F0B">
        <w:rPr>
          <w:rFonts w:cstheme="minorHAnsi"/>
          <w:color w:val="333333"/>
          <w:shd w:val="clear" w:color="auto" w:fill="FFFFFF"/>
        </w:rPr>
        <w:t>is</w:t>
      </w:r>
      <w:r w:rsidR="001C32D4" w:rsidRPr="00581F0B">
        <w:rPr>
          <w:rFonts w:cstheme="minorHAnsi"/>
          <w:color w:val="333333"/>
          <w:shd w:val="clear" w:color="auto" w:fill="FFFFFF"/>
        </w:rPr>
        <w:t xml:space="preserve"> during the lifetime of a facility.</w:t>
      </w:r>
      <w:r w:rsidR="00872B41" w:rsidRPr="00581F0B">
        <w:rPr>
          <w:rFonts w:cstheme="minorHAnsi"/>
          <w:color w:val="333333"/>
          <w:shd w:val="clear" w:color="auto" w:fill="FFFFFF"/>
        </w:rPr>
        <w:t xml:space="preserve"> </w:t>
      </w:r>
      <w:r w:rsidR="003C2CFC" w:rsidRPr="00581F0B">
        <w:rPr>
          <w:rFonts w:cstheme="minorHAnsi"/>
          <w:color w:val="333333"/>
          <w:shd w:val="clear" w:color="auto" w:fill="FFFFFF"/>
        </w:rPr>
        <w:t xml:space="preserve">PLOT_GW(), using the output from GCAM_GW(), creates a plot of annual average capacity by activity and fuel between each GCAM model step year. The PLOT_JOB() function visualizes the average annual direct jobs between each GCAM model step year, categorized by fuel and job types. PLOT_JOB_TYPE() </w:t>
      </w:r>
      <w:r w:rsidR="00C26A3F" w:rsidRPr="00581F0B">
        <w:rPr>
          <w:rFonts w:cstheme="minorHAnsi"/>
          <w:color w:val="333333"/>
          <w:shd w:val="clear" w:color="auto" w:fill="FFFFFF"/>
        </w:rPr>
        <w:t xml:space="preserve">plots the jobs by job type across </w:t>
      </w:r>
      <w:r w:rsidR="003C2CFC" w:rsidRPr="00581F0B">
        <w:rPr>
          <w:rFonts w:cstheme="minorHAnsi"/>
          <w:color w:val="333333"/>
          <w:shd w:val="clear" w:color="auto" w:fill="FFFFFF"/>
        </w:rPr>
        <w:t>all fuel types in a specified year.</w:t>
      </w:r>
      <w:r w:rsidR="00983BF1" w:rsidRPr="00581F0B">
        <w:rPr>
          <w:rFonts w:cstheme="minorHAnsi"/>
          <w:color w:val="333333"/>
          <w:shd w:val="clear" w:color="auto" w:fill="FFFFFF"/>
        </w:rPr>
        <w:t xml:space="preserve"> All of these plotting functions will produce results either for an individual state or for the US as a whole.</w:t>
      </w:r>
      <w:r w:rsidR="003C2CFC" w:rsidRPr="00581F0B">
        <w:rPr>
          <w:rFonts w:cstheme="minorHAnsi"/>
          <w:color w:val="333333"/>
          <w:shd w:val="clear" w:color="auto" w:fill="FFFFFF"/>
        </w:rPr>
        <w:t xml:space="preserve"> Lastly, MAP_JOB() offers a visual representation of state-level total power sector direct jobs for the chosen year. Further examples and detailed visualizations are available in the package vignette.</w:t>
      </w:r>
    </w:p>
    <w:p w14:paraId="2EE4A3FD" w14:textId="6A703AB7" w:rsidR="00990013" w:rsidRDefault="00990013" w:rsidP="00990013">
      <w:pPr>
        <w:pStyle w:val="Heading1"/>
      </w:pPr>
      <w:bookmarkStart w:id="40" w:name="_Toc178345355"/>
      <w:r>
        <w:t xml:space="preserve">5. </w:t>
      </w:r>
      <w:r w:rsidR="00EE6D56">
        <w:t>Future development</w:t>
      </w:r>
      <w:bookmarkEnd w:id="40"/>
      <w:r w:rsidR="00EE6D56">
        <w:t xml:space="preserve"> </w:t>
      </w:r>
    </w:p>
    <w:p w14:paraId="7B6685F6" w14:textId="6F47B4D4" w:rsidR="004462F2" w:rsidRDefault="004462F2" w:rsidP="00593678">
      <w:r>
        <w:t xml:space="preserve">There are a few limitations of this package, and we </w:t>
      </w:r>
      <w:r w:rsidR="00DD5520">
        <w:t>propose</w:t>
      </w:r>
      <w:r w:rsidR="00BF5472">
        <w:t xml:space="preserve"> potential development to improve the </w:t>
      </w:r>
      <w:r w:rsidR="00D37E2E">
        <w:t>package's</w:t>
      </w:r>
      <w:r w:rsidR="00BF5472">
        <w:t xml:space="preserve"> performance in the future.</w:t>
      </w:r>
    </w:p>
    <w:p w14:paraId="0A51CE87" w14:textId="4C7C6453" w:rsidR="00593678" w:rsidRDefault="00D37E2E" w:rsidP="00593678">
      <w:r>
        <w:t>First</w:t>
      </w:r>
      <w:r w:rsidR="00593678">
        <w:t xml:space="preserve">, this package </w:t>
      </w:r>
      <w:r>
        <w:t xml:space="preserve">currently </w:t>
      </w:r>
      <w:r w:rsidR="00593678">
        <w:t>only accounts for direct jobs related to power generation. In the future, we plan to expand the scope to include indirect jobs across the supply chain, such as employment in biomass production</w:t>
      </w:r>
      <w:r w:rsidR="00B73107">
        <w:t>, fuel resource extraction, and so on</w:t>
      </w:r>
      <w:r w:rsidR="00593678">
        <w:t xml:space="preserve">. </w:t>
      </w:r>
    </w:p>
    <w:p w14:paraId="0E35575D" w14:textId="2190CA4A" w:rsidR="004462F2" w:rsidRDefault="00B301E4" w:rsidP="00593678">
      <w:r>
        <w:t xml:space="preserve">Second, this package currently adopts a constant employment factor over time. A future version of the package can introduce exogenous assumptions for labor productivity growth over time, </w:t>
      </w:r>
      <w:r w:rsidR="00631DF6">
        <w:t>mainly</w:t>
      </w:r>
      <w:r>
        <w:t xml:space="preserve"> driven by mechanization. </w:t>
      </w:r>
    </w:p>
    <w:p w14:paraId="315F3A7B" w14:textId="77777777" w:rsidR="005E2F8D" w:rsidRDefault="00E41D32" w:rsidP="005E2F8D">
      <w:r>
        <w:t xml:space="preserve">Third, </w:t>
      </w:r>
      <w:r w:rsidR="0021013C">
        <w:t>this package currently solely adopts employment factors from the JEDI model, and a future version of the package can introduce alternative data sources for employment factors.</w:t>
      </w:r>
    </w:p>
    <w:p w14:paraId="620D22BE" w14:textId="33F74D5A" w:rsidR="00193B83" w:rsidRDefault="00193B83" w:rsidP="005E2F8D">
      <w:r>
        <w:lastRenderedPageBreak/>
        <w:t xml:space="preserve">Reference </w:t>
      </w:r>
    </w:p>
    <w:p w14:paraId="6949F75A" w14:textId="77777777" w:rsidR="003242C5" w:rsidRPr="003242C5" w:rsidRDefault="003242C5" w:rsidP="003242C5">
      <w:pPr>
        <w:pStyle w:val="Bibliography"/>
        <w:rPr>
          <w:rFonts w:ascii="Calibri" w:hAnsi="Calibri" w:cs="Calibri"/>
        </w:rPr>
      </w:pPr>
      <w:r>
        <w:fldChar w:fldCharType="begin"/>
      </w:r>
      <w:r>
        <w:instrText xml:space="preserve"> ADDIN ZOTERO_BIBL {"uncited":[],"omitted":[],"custom":[]} CSL_BIBLIOGRAPHY </w:instrText>
      </w:r>
      <w:r>
        <w:fldChar w:fldCharType="separate"/>
      </w:r>
      <w:r w:rsidRPr="003242C5">
        <w:rPr>
          <w:rFonts w:ascii="Calibri" w:hAnsi="Calibri" w:cs="Calibri"/>
        </w:rPr>
        <w:t>1.</w:t>
      </w:r>
      <w:r w:rsidRPr="003242C5">
        <w:rPr>
          <w:rFonts w:ascii="Calibri" w:hAnsi="Calibri" w:cs="Calibri"/>
        </w:rPr>
        <w:tab/>
        <w:t xml:space="preserve">Hall, D., Hunt, R., Reeves, K. &amp; Carroll, G. </w:t>
      </w:r>
      <w:r w:rsidRPr="003242C5">
        <w:rPr>
          <w:rFonts w:ascii="Calibri" w:hAnsi="Calibri" w:cs="Calibri"/>
          <w:i/>
          <w:iCs/>
        </w:rPr>
        <w:t>Estimation of Economic Parameters of U.S. Hydropower Resources</w:t>
      </w:r>
      <w:r w:rsidRPr="003242C5">
        <w:rPr>
          <w:rFonts w:ascii="Calibri" w:hAnsi="Calibri" w:cs="Calibri"/>
        </w:rPr>
        <w:t>. None, 1218138, 3750 https://www.osti.gov/servlets/purl/1218138/ (2003) doi:10.2172/1218138.</w:t>
      </w:r>
    </w:p>
    <w:p w14:paraId="55A3204B" w14:textId="77777777" w:rsidR="003242C5" w:rsidRPr="003242C5" w:rsidRDefault="003242C5" w:rsidP="003242C5">
      <w:pPr>
        <w:pStyle w:val="Bibliography"/>
        <w:rPr>
          <w:rFonts w:ascii="Calibri" w:hAnsi="Calibri" w:cs="Calibri"/>
        </w:rPr>
      </w:pPr>
      <w:r w:rsidRPr="003242C5">
        <w:rPr>
          <w:rFonts w:ascii="Calibri" w:hAnsi="Calibri" w:cs="Calibri"/>
        </w:rPr>
        <w:t>2.</w:t>
      </w:r>
      <w:r w:rsidRPr="003242C5">
        <w:rPr>
          <w:rFonts w:ascii="Calibri" w:hAnsi="Calibri" w:cs="Calibri"/>
        </w:rPr>
        <w:tab/>
        <w:t>EIA. Nearly half of U.S. geothermal power capacity came online in the 1980s - U.S. Energy Information Administration (EIA). https://www.eia.gov/todayinenergy/detail.php?id=42036 (2019).</w:t>
      </w:r>
    </w:p>
    <w:p w14:paraId="6E1ACCF6" w14:textId="77777777" w:rsidR="003242C5" w:rsidRPr="003242C5" w:rsidRDefault="003242C5" w:rsidP="003242C5">
      <w:pPr>
        <w:pStyle w:val="Bibliography"/>
        <w:rPr>
          <w:rFonts w:ascii="Calibri" w:hAnsi="Calibri" w:cs="Calibri"/>
        </w:rPr>
      </w:pPr>
      <w:r w:rsidRPr="003242C5">
        <w:rPr>
          <w:rFonts w:ascii="Calibri" w:hAnsi="Calibri" w:cs="Calibri"/>
        </w:rPr>
        <w:t>3.</w:t>
      </w:r>
      <w:r w:rsidRPr="003242C5">
        <w:rPr>
          <w:rFonts w:ascii="Calibri" w:hAnsi="Calibri" w:cs="Calibri"/>
        </w:rPr>
        <w:tab/>
        <w:t xml:space="preserve">Xie, J. J., Martin, M., Rogelj, J. &amp; Staffell, I. Distributional labour challenges and opportunities for decarbonizing the US power system. </w:t>
      </w:r>
      <w:r w:rsidRPr="003242C5">
        <w:rPr>
          <w:rFonts w:ascii="Calibri" w:hAnsi="Calibri" w:cs="Calibri"/>
          <w:i/>
          <w:iCs/>
        </w:rPr>
        <w:t>Nat. Clim. Change</w:t>
      </w:r>
      <w:r w:rsidRPr="003242C5">
        <w:rPr>
          <w:rFonts w:ascii="Calibri" w:hAnsi="Calibri" w:cs="Calibri"/>
        </w:rPr>
        <w:t xml:space="preserve"> </w:t>
      </w:r>
      <w:r w:rsidRPr="003242C5">
        <w:rPr>
          <w:rFonts w:ascii="Calibri" w:hAnsi="Calibri" w:cs="Calibri"/>
          <w:b/>
          <w:bCs/>
        </w:rPr>
        <w:t>13</w:t>
      </w:r>
      <w:r w:rsidRPr="003242C5">
        <w:rPr>
          <w:rFonts w:ascii="Calibri" w:hAnsi="Calibri" w:cs="Calibri"/>
        </w:rPr>
        <w:t>, 1203–1212 (2023).</w:t>
      </w:r>
    </w:p>
    <w:p w14:paraId="1535F2E7" w14:textId="77777777" w:rsidR="003242C5" w:rsidRPr="003242C5" w:rsidRDefault="003242C5" w:rsidP="003242C5">
      <w:pPr>
        <w:pStyle w:val="Bibliography"/>
        <w:rPr>
          <w:rFonts w:ascii="Calibri" w:hAnsi="Calibri" w:cs="Calibri"/>
        </w:rPr>
      </w:pPr>
      <w:r w:rsidRPr="003242C5">
        <w:rPr>
          <w:rFonts w:ascii="Calibri" w:hAnsi="Calibri" w:cs="Calibri"/>
        </w:rPr>
        <w:t>4.</w:t>
      </w:r>
      <w:r w:rsidRPr="003242C5">
        <w:rPr>
          <w:rFonts w:ascii="Calibri" w:hAnsi="Calibri" w:cs="Calibri"/>
        </w:rPr>
        <w:tab/>
        <w:t>NREL. 2019 Annual Technology Baseline. https://atb.nrel.gov/electricity/2019.</w:t>
      </w:r>
    </w:p>
    <w:p w14:paraId="73FACF8E" w14:textId="0DEF39FB" w:rsidR="006E0113" w:rsidRDefault="003242C5" w:rsidP="004A5BB9">
      <w:r>
        <w:fldChar w:fldCharType="end"/>
      </w:r>
    </w:p>
    <w:sectPr w:rsidR="006E01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4CCEA" w14:textId="77777777" w:rsidR="00EF2CB6" w:rsidRDefault="00EF2CB6" w:rsidP="000234F1">
      <w:pPr>
        <w:spacing w:after="0" w:line="240" w:lineRule="auto"/>
      </w:pPr>
      <w:r>
        <w:separator/>
      </w:r>
    </w:p>
  </w:endnote>
  <w:endnote w:type="continuationSeparator" w:id="0">
    <w:p w14:paraId="78DE2E67" w14:textId="77777777" w:rsidR="00EF2CB6" w:rsidRDefault="00EF2CB6" w:rsidP="0002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280E1" w14:textId="77777777" w:rsidR="00EF2CB6" w:rsidRDefault="00EF2CB6" w:rsidP="000234F1">
      <w:pPr>
        <w:spacing w:after="0" w:line="240" w:lineRule="auto"/>
      </w:pPr>
      <w:r>
        <w:separator/>
      </w:r>
    </w:p>
  </w:footnote>
  <w:footnote w:type="continuationSeparator" w:id="0">
    <w:p w14:paraId="312BFEC0" w14:textId="77777777" w:rsidR="00EF2CB6" w:rsidRDefault="00EF2CB6" w:rsidP="00023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3E40"/>
    <w:multiLevelType w:val="hybridMultilevel"/>
    <w:tmpl w:val="E8AEF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53BB8"/>
    <w:multiLevelType w:val="hybridMultilevel"/>
    <w:tmpl w:val="64D6D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AA205F"/>
    <w:multiLevelType w:val="hybridMultilevel"/>
    <w:tmpl w:val="85B6F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34717"/>
    <w:multiLevelType w:val="hybridMultilevel"/>
    <w:tmpl w:val="973C5DB4"/>
    <w:lvl w:ilvl="0" w:tplc="C5C4A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F2C22"/>
    <w:multiLevelType w:val="hybridMultilevel"/>
    <w:tmpl w:val="23A6D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F6CC5"/>
    <w:multiLevelType w:val="hybridMultilevel"/>
    <w:tmpl w:val="0EEE2B26"/>
    <w:lvl w:ilvl="0" w:tplc="CDDAD474">
      <w:start w:val="1"/>
      <w:numFmt w:val="bullet"/>
      <w:lvlText w:val="•"/>
      <w:lvlJc w:val="left"/>
      <w:pPr>
        <w:tabs>
          <w:tab w:val="num" w:pos="720"/>
        </w:tabs>
        <w:ind w:left="720" w:hanging="360"/>
      </w:pPr>
      <w:rPr>
        <w:rFonts w:ascii="Arial" w:hAnsi="Arial" w:hint="default"/>
      </w:rPr>
    </w:lvl>
    <w:lvl w:ilvl="1" w:tplc="E724E73C" w:tentative="1">
      <w:start w:val="1"/>
      <w:numFmt w:val="bullet"/>
      <w:lvlText w:val="•"/>
      <w:lvlJc w:val="left"/>
      <w:pPr>
        <w:tabs>
          <w:tab w:val="num" w:pos="1440"/>
        </w:tabs>
        <w:ind w:left="1440" w:hanging="360"/>
      </w:pPr>
      <w:rPr>
        <w:rFonts w:ascii="Arial" w:hAnsi="Arial" w:hint="default"/>
      </w:rPr>
    </w:lvl>
    <w:lvl w:ilvl="2" w:tplc="66D0A5CA" w:tentative="1">
      <w:start w:val="1"/>
      <w:numFmt w:val="bullet"/>
      <w:lvlText w:val="•"/>
      <w:lvlJc w:val="left"/>
      <w:pPr>
        <w:tabs>
          <w:tab w:val="num" w:pos="2160"/>
        </w:tabs>
        <w:ind w:left="2160" w:hanging="360"/>
      </w:pPr>
      <w:rPr>
        <w:rFonts w:ascii="Arial" w:hAnsi="Arial" w:hint="default"/>
      </w:rPr>
    </w:lvl>
    <w:lvl w:ilvl="3" w:tplc="AE5A43BE" w:tentative="1">
      <w:start w:val="1"/>
      <w:numFmt w:val="bullet"/>
      <w:lvlText w:val="•"/>
      <w:lvlJc w:val="left"/>
      <w:pPr>
        <w:tabs>
          <w:tab w:val="num" w:pos="2880"/>
        </w:tabs>
        <w:ind w:left="2880" w:hanging="360"/>
      </w:pPr>
      <w:rPr>
        <w:rFonts w:ascii="Arial" w:hAnsi="Arial" w:hint="default"/>
      </w:rPr>
    </w:lvl>
    <w:lvl w:ilvl="4" w:tplc="58A070C2" w:tentative="1">
      <w:start w:val="1"/>
      <w:numFmt w:val="bullet"/>
      <w:lvlText w:val="•"/>
      <w:lvlJc w:val="left"/>
      <w:pPr>
        <w:tabs>
          <w:tab w:val="num" w:pos="3600"/>
        </w:tabs>
        <w:ind w:left="3600" w:hanging="360"/>
      </w:pPr>
      <w:rPr>
        <w:rFonts w:ascii="Arial" w:hAnsi="Arial" w:hint="default"/>
      </w:rPr>
    </w:lvl>
    <w:lvl w:ilvl="5" w:tplc="2646B6CC" w:tentative="1">
      <w:start w:val="1"/>
      <w:numFmt w:val="bullet"/>
      <w:lvlText w:val="•"/>
      <w:lvlJc w:val="left"/>
      <w:pPr>
        <w:tabs>
          <w:tab w:val="num" w:pos="4320"/>
        </w:tabs>
        <w:ind w:left="4320" w:hanging="360"/>
      </w:pPr>
      <w:rPr>
        <w:rFonts w:ascii="Arial" w:hAnsi="Arial" w:hint="default"/>
      </w:rPr>
    </w:lvl>
    <w:lvl w:ilvl="6" w:tplc="2E8C3F26" w:tentative="1">
      <w:start w:val="1"/>
      <w:numFmt w:val="bullet"/>
      <w:lvlText w:val="•"/>
      <w:lvlJc w:val="left"/>
      <w:pPr>
        <w:tabs>
          <w:tab w:val="num" w:pos="5040"/>
        </w:tabs>
        <w:ind w:left="5040" w:hanging="360"/>
      </w:pPr>
      <w:rPr>
        <w:rFonts w:ascii="Arial" w:hAnsi="Arial" w:hint="default"/>
      </w:rPr>
    </w:lvl>
    <w:lvl w:ilvl="7" w:tplc="DF1CAE42" w:tentative="1">
      <w:start w:val="1"/>
      <w:numFmt w:val="bullet"/>
      <w:lvlText w:val="•"/>
      <w:lvlJc w:val="left"/>
      <w:pPr>
        <w:tabs>
          <w:tab w:val="num" w:pos="5760"/>
        </w:tabs>
        <w:ind w:left="5760" w:hanging="360"/>
      </w:pPr>
      <w:rPr>
        <w:rFonts w:ascii="Arial" w:hAnsi="Arial" w:hint="default"/>
      </w:rPr>
    </w:lvl>
    <w:lvl w:ilvl="8" w:tplc="A12A79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FF4E0B"/>
    <w:multiLevelType w:val="hybridMultilevel"/>
    <w:tmpl w:val="F2DED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195430"/>
    <w:multiLevelType w:val="multilevel"/>
    <w:tmpl w:val="012C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8169A"/>
    <w:multiLevelType w:val="hybridMultilevel"/>
    <w:tmpl w:val="C25481D0"/>
    <w:lvl w:ilvl="0" w:tplc="00AAB240">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6B6BE2"/>
    <w:multiLevelType w:val="multilevel"/>
    <w:tmpl w:val="0100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4531F"/>
    <w:multiLevelType w:val="hybridMultilevel"/>
    <w:tmpl w:val="30268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5210C"/>
    <w:multiLevelType w:val="hybridMultilevel"/>
    <w:tmpl w:val="220CAA84"/>
    <w:lvl w:ilvl="0" w:tplc="0DE0BF3A">
      <w:start w:val="1"/>
      <w:numFmt w:val="bullet"/>
      <w:lvlText w:val="•"/>
      <w:lvlJc w:val="left"/>
      <w:pPr>
        <w:tabs>
          <w:tab w:val="num" w:pos="720"/>
        </w:tabs>
        <w:ind w:left="720" w:hanging="360"/>
      </w:pPr>
      <w:rPr>
        <w:rFonts w:ascii="Arial" w:hAnsi="Arial" w:hint="default"/>
      </w:rPr>
    </w:lvl>
    <w:lvl w:ilvl="1" w:tplc="9BA2027E" w:tentative="1">
      <w:start w:val="1"/>
      <w:numFmt w:val="bullet"/>
      <w:lvlText w:val="•"/>
      <w:lvlJc w:val="left"/>
      <w:pPr>
        <w:tabs>
          <w:tab w:val="num" w:pos="1440"/>
        </w:tabs>
        <w:ind w:left="1440" w:hanging="360"/>
      </w:pPr>
      <w:rPr>
        <w:rFonts w:ascii="Arial" w:hAnsi="Arial" w:hint="default"/>
      </w:rPr>
    </w:lvl>
    <w:lvl w:ilvl="2" w:tplc="06425286" w:tentative="1">
      <w:start w:val="1"/>
      <w:numFmt w:val="bullet"/>
      <w:lvlText w:val="•"/>
      <w:lvlJc w:val="left"/>
      <w:pPr>
        <w:tabs>
          <w:tab w:val="num" w:pos="2160"/>
        </w:tabs>
        <w:ind w:left="2160" w:hanging="360"/>
      </w:pPr>
      <w:rPr>
        <w:rFonts w:ascii="Arial" w:hAnsi="Arial" w:hint="default"/>
      </w:rPr>
    </w:lvl>
    <w:lvl w:ilvl="3" w:tplc="41386792" w:tentative="1">
      <w:start w:val="1"/>
      <w:numFmt w:val="bullet"/>
      <w:lvlText w:val="•"/>
      <w:lvlJc w:val="left"/>
      <w:pPr>
        <w:tabs>
          <w:tab w:val="num" w:pos="2880"/>
        </w:tabs>
        <w:ind w:left="2880" w:hanging="360"/>
      </w:pPr>
      <w:rPr>
        <w:rFonts w:ascii="Arial" w:hAnsi="Arial" w:hint="default"/>
      </w:rPr>
    </w:lvl>
    <w:lvl w:ilvl="4" w:tplc="D20825DA" w:tentative="1">
      <w:start w:val="1"/>
      <w:numFmt w:val="bullet"/>
      <w:lvlText w:val="•"/>
      <w:lvlJc w:val="left"/>
      <w:pPr>
        <w:tabs>
          <w:tab w:val="num" w:pos="3600"/>
        </w:tabs>
        <w:ind w:left="3600" w:hanging="360"/>
      </w:pPr>
      <w:rPr>
        <w:rFonts w:ascii="Arial" w:hAnsi="Arial" w:hint="default"/>
      </w:rPr>
    </w:lvl>
    <w:lvl w:ilvl="5" w:tplc="60C61F84" w:tentative="1">
      <w:start w:val="1"/>
      <w:numFmt w:val="bullet"/>
      <w:lvlText w:val="•"/>
      <w:lvlJc w:val="left"/>
      <w:pPr>
        <w:tabs>
          <w:tab w:val="num" w:pos="4320"/>
        </w:tabs>
        <w:ind w:left="4320" w:hanging="360"/>
      </w:pPr>
      <w:rPr>
        <w:rFonts w:ascii="Arial" w:hAnsi="Arial" w:hint="default"/>
      </w:rPr>
    </w:lvl>
    <w:lvl w:ilvl="6" w:tplc="96A01BC4" w:tentative="1">
      <w:start w:val="1"/>
      <w:numFmt w:val="bullet"/>
      <w:lvlText w:val="•"/>
      <w:lvlJc w:val="left"/>
      <w:pPr>
        <w:tabs>
          <w:tab w:val="num" w:pos="5040"/>
        </w:tabs>
        <w:ind w:left="5040" w:hanging="360"/>
      </w:pPr>
      <w:rPr>
        <w:rFonts w:ascii="Arial" w:hAnsi="Arial" w:hint="default"/>
      </w:rPr>
    </w:lvl>
    <w:lvl w:ilvl="7" w:tplc="ACF26CCC" w:tentative="1">
      <w:start w:val="1"/>
      <w:numFmt w:val="bullet"/>
      <w:lvlText w:val="•"/>
      <w:lvlJc w:val="left"/>
      <w:pPr>
        <w:tabs>
          <w:tab w:val="num" w:pos="5760"/>
        </w:tabs>
        <w:ind w:left="5760" w:hanging="360"/>
      </w:pPr>
      <w:rPr>
        <w:rFonts w:ascii="Arial" w:hAnsi="Arial" w:hint="default"/>
      </w:rPr>
    </w:lvl>
    <w:lvl w:ilvl="8" w:tplc="51CC4EE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77D6D02"/>
    <w:multiLevelType w:val="hybridMultilevel"/>
    <w:tmpl w:val="5322C2B2"/>
    <w:lvl w:ilvl="0" w:tplc="98CAE144">
      <w:start w:val="1"/>
      <w:numFmt w:val="bullet"/>
      <w:lvlText w:val="•"/>
      <w:lvlJc w:val="left"/>
      <w:pPr>
        <w:tabs>
          <w:tab w:val="num" w:pos="720"/>
        </w:tabs>
        <w:ind w:left="720" w:hanging="360"/>
      </w:pPr>
      <w:rPr>
        <w:rFonts w:ascii="Arial" w:hAnsi="Arial" w:hint="default"/>
      </w:rPr>
    </w:lvl>
    <w:lvl w:ilvl="1" w:tplc="A14C8680" w:tentative="1">
      <w:start w:val="1"/>
      <w:numFmt w:val="bullet"/>
      <w:lvlText w:val="•"/>
      <w:lvlJc w:val="left"/>
      <w:pPr>
        <w:tabs>
          <w:tab w:val="num" w:pos="1440"/>
        </w:tabs>
        <w:ind w:left="1440" w:hanging="360"/>
      </w:pPr>
      <w:rPr>
        <w:rFonts w:ascii="Arial" w:hAnsi="Arial" w:hint="default"/>
      </w:rPr>
    </w:lvl>
    <w:lvl w:ilvl="2" w:tplc="63FC3E86" w:tentative="1">
      <w:start w:val="1"/>
      <w:numFmt w:val="bullet"/>
      <w:lvlText w:val="•"/>
      <w:lvlJc w:val="left"/>
      <w:pPr>
        <w:tabs>
          <w:tab w:val="num" w:pos="2160"/>
        </w:tabs>
        <w:ind w:left="2160" w:hanging="360"/>
      </w:pPr>
      <w:rPr>
        <w:rFonts w:ascii="Arial" w:hAnsi="Arial" w:hint="default"/>
      </w:rPr>
    </w:lvl>
    <w:lvl w:ilvl="3" w:tplc="E73C9C6E" w:tentative="1">
      <w:start w:val="1"/>
      <w:numFmt w:val="bullet"/>
      <w:lvlText w:val="•"/>
      <w:lvlJc w:val="left"/>
      <w:pPr>
        <w:tabs>
          <w:tab w:val="num" w:pos="2880"/>
        </w:tabs>
        <w:ind w:left="2880" w:hanging="360"/>
      </w:pPr>
      <w:rPr>
        <w:rFonts w:ascii="Arial" w:hAnsi="Arial" w:hint="default"/>
      </w:rPr>
    </w:lvl>
    <w:lvl w:ilvl="4" w:tplc="B68A6844" w:tentative="1">
      <w:start w:val="1"/>
      <w:numFmt w:val="bullet"/>
      <w:lvlText w:val="•"/>
      <w:lvlJc w:val="left"/>
      <w:pPr>
        <w:tabs>
          <w:tab w:val="num" w:pos="3600"/>
        </w:tabs>
        <w:ind w:left="3600" w:hanging="360"/>
      </w:pPr>
      <w:rPr>
        <w:rFonts w:ascii="Arial" w:hAnsi="Arial" w:hint="default"/>
      </w:rPr>
    </w:lvl>
    <w:lvl w:ilvl="5" w:tplc="756E64F2" w:tentative="1">
      <w:start w:val="1"/>
      <w:numFmt w:val="bullet"/>
      <w:lvlText w:val="•"/>
      <w:lvlJc w:val="left"/>
      <w:pPr>
        <w:tabs>
          <w:tab w:val="num" w:pos="4320"/>
        </w:tabs>
        <w:ind w:left="4320" w:hanging="360"/>
      </w:pPr>
      <w:rPr>
        <w:rFonts w:ascii="Arial" w:hAnsi="Arial" w:hint="default"/>
      </w:rPr>
    </w:lvl>
    <w:lvl w:ilvl="6" w:tplc="07049234" w:tentative="1">
      <w:start w:val="1"/>
      <w:numFmt w:val="bullet"/>
      <w:lvlText w:val="•"/>
      <w:lvlJc w:val="left"/>
      <w:pPr>
        <w:tabs>
          <w:tab w:val="num" w:pos="5040"/>
        </w:tabs>
        <w:ind w:left="5040" w:hanging="360"/>
      </w:pPr>
      <w:rPr>
        <w:rFonts w:ascii="Arial" w:hAnsi="Arial" w:hint="default"/>
      </w:rPr>
    </w:lvl>
    <w:lvl w:ilvl="7" w:tplc="7DFE19B8" w:tentative="1">
      <w:start w:val="1"/>
      <w:numFmt w:val="bullet"/>
      <w:lvlText w:val="•"/>
      <w:lvlJc w:val="left"/>
      <w:pPr>
        <w:tabs>
          <w:tab w:val="num" w:pos="5760"/>
        </w:tabs>
        <w:ind w:left="5760" w:hanging="360"/>
      </w:pPr>
      <w:rPr>
        <w:rFonts w:ascii="Arial" w:hAnsi="Arial" w:hint="default"/>
      </w:rPr>
    </w:lvl>
    <w:lvl w:ilvl="8" w:tplc="F674516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80601B4"/>
    <w:multiLevelType w:val="hybridMultilevel"/>
    <w:tmpl w:val="78B41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641DC1"/>
    <w:multiLevelType w:val="hybridMultilevel"/>
    <w:tmpl w:val="BF36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BF2708"/>
    <w:multiLevelType w:val="hybridMultilevel"/>
    <w:tmpl w:val="6D32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4715C"/>
    <w:multiLevelType w:val="hybridMultilevel"/>
    <w:tmpl w:val="A2763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496650">
    <w:abstractNumId w:val="16"/>
  </w:num>
  <w:num w:numId="2" w16cid:durableId="837229168">
    <w:abstractNumId w:val="0"/>
  </w:num>
  <w:num w:numId="3" w16cid:durableId="1332679623">
    <w:abstractNumId w:val="6"/>
  </w:num>
  <w:num w:numId="4" w16cid:durableId="196048276">
    <w:abstractNumId w:val="15"/>
  </w:num>
  <w:num w:numId="5" w16cid:durableId="923954244">
    <w:abstractNumId w:val="13"/>
  </w:num>
  <w:num w:numId="6" w16cid:durableId="221596816">
    <w:abstractNumId w:val="3"/>
  </w:num>
  <w:num w:numId="7" w16cid:durableId="1953776841">
    <w:abstractNumId w:val="4"/>
  </w:num>
  <w:num w:numId="8" w16cid:durableId="650409049">
    <w:abstractNumId w:val="2"/>
  </w:num>
  <w:num w:numId="9" w16cid:durableId="1378967301">
    <w:abstractNumId w:val="8"/>
  </w:num>
  <w:num w:numId="10" w16cid:durableId="229272347">
    <w:abstractNumId w:val="12"/>
  </w:num>
  <w:num w:numId="11" w16cid:durableId="1226138984">
    <w:abstractNumId w:val="5"/>
  </w:num>
  <w:num w:numId="12" w16cid:durableId="1727989234">
    <w:abstractNumId w:val="11"/>
  </w:num>
  <w:num w:numId="13" w16cid:durableId="972635346">
    <w:abstractNumId w:val="7"/>
  </w:num>
  <w:num w:numId="14" w16cid:durableId="2102950292">
    <w:abstractNumId w:val="9"/>
  </w:num>
  <w:num w:numId="15" w16cid:durableId="339938314">
    <w:abstractNumId w:val="1"/>
  </w:num>
  <w:num w:numId="16" w16cid:durableId="599292114">
    <w:abstractNumId w:val="10"/>
  </w:num>
  <w:num w:numId="17" w16cid:durableId="16846254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B9"/>
    <w:rsid w:val="000024E7"/>
    <w:rsid w:val="000025BB"/>
    <w:rsid w:val="00005B4C"/>
    <w:rsid w:val="00007DB1"/>
    <w:rsid w:val="0001085C"/>
    <w:rsid w:val="00010AD8"/>
    <w:rsid w:val="00010BFD"/>
    <w:rsid w:val="00011C58"/>
    <w:rsid w:val="0001200C"/>
    <w:rsid w:val="0001203B"/>
    <w:rsid w:val="00012A40"/>
    <w:rsid w:val="00013A1C"/>
    <w:rsid w:val="00020EED"/>
    <w:rsid w:val="00022CD2"/>
    <w:rsid w:val="000233F8"/>
    <w:rsid w:val="000234F1"/>
    <w:rsid w:val="000241EB"/>
    <w:rsid w:val="000269A6"/>
    <w:rsid w:val="00026DB0"/>
    <w:rsid w:val="00031120"/>
    <w:rsid w:val="00032666"/>
    <w:rsid w:val="00033081"/>
    <w:rsid w:val="00033104"/>
    <w:rsid w:val="000346A4"/>
    <w:rsid w:val="00037988"/>
    <w:rsid w:val="00037CF8"/>
    <w:rsid w:val="0004048C"/>
    <w:rsid w:val="00040CF0"/>
    <w:rsid w:val="000433B9"/>
    <w:rsid w:val="00043B8A"/>
    <w:rsid w:val="000456F3"/>
    <w:rsid w:val="0004708C"/>
    <w:rsid w:val="000514BE"/>
    <w:rsid w:val="00051CF3"/>
    <w:rsid w:val="00052887"/>
    <w:rsid w:val="00054F86"/>
    <w:rsid w:val="000550B7"/>
    <w:rsid w:val="0005532F"/>
    <w:rsid w:val="00056BCE"/>
    <w:rsid w:val="0006632B"/>
    <w:rsid w:val="0006686B"/>
    <w:rsid w:val="0006781D"/>
    <w:rsid w:val="00067D89"/>
    <w:rsid w:val="00071260"/>
    <w:rsid w:val="00072261"/>
    <w:rsid w:val="000723D4"/>
    <w:rsid w:val="00074F89"/>
    <w:rsid w:val="000838D6"/>
    <w:rsid w:val="000902E9"/>
    <w:rsid w:val="000908CD"/>
    <w:rsid w:val="00090980"/>
    <w:rsid w:val="00090DAB"/>
    <w:rsid w:val="0009317E"/>
    <w:rsid w:val="00093BD8"/>
    <w:rsid w:val="0009596A"/>
    <w:rsid w:val="00096A1B"/>
    <w:rsid w:val="000A1FAE"/>
    <w:rsid w:val="000B063E"/>
    <w:rsid w:val="000B0FCC"/>
    <w:rsid w:val="000B157C"/>
    <w:rsid w:val="000B1E47"/>
    <w:rsid w:val="000B2A30"/>
    <w:rsid w:val="000B749A"/>
    <w:rsid w:val="000C352E"/>
    <w:rsid w:val="000C3ABB"/>
    <w:rsid w:val="000C75CD"/>
    <w:rsid w:val="000C7919"/>
    <w:rsid w:val="000D0415"/>
    <w:rsid w:val="000D0784"/>
    <w:rsid w:val="000D1DE1"/>
    <w:rsid w:val="000E067E"/>
    <w:rsid w:val="000E3842"/>
    <w:rsid w:val="000E71EB"/>
    <w:rsid w:val="000E757E"/>
    <w:rsid w:val="000E7FB3"/>
    <w:rsid w:val="000F5C8C"/>
    <w:rsid w:val="000F79BC"/>
    <w:rsid w:val="001001E4"/>
    <w:rsid w:val="0010262B"/>
    <w:rsid w:val="00105C72"/>
    <w:rsid w:val="00107EC4"/>
    <w:rsid w:val="00107FD8"/>
    <w:rsid w:val="00110A1B"/>
    <w:rsid w:val="001131E3"/>
    <w:rsid w:val="001149C0"/>
    <w:rsid w:val="00115032"/>
    <w:rsid w:val="001154F9"/>
    <w:rsid w:val="00115D47"/>
    <w:rsid w:val="001160ED"/>
    <w:rsid w:val="00117813"/>
    <w:rsid w:val="00117C03"/>
    <w:rsid w:val="00120469"/>
    <w:rsid w:val="00120CFE"/>
    <w:rsid w:val="0012242E"/>
    <w:rsid w:val="00124C5F"/>
    <w:rsid w:val="001251E7"/>
    <w:rsid w:val="0012643A"/>
    <w:rsid w:val="00126B4F"/>
    <w:rsid w:val="00126E40"/>
    <w:rsid w:val="00127145"/>
    <w:rsid w:val="00127235"/>
    <w:rsid w:val="00127B70"/>
    <w:rsid w:val="001303F4"/>
    <w:rsid w:val="00132671"/>
    <w:rsid w:val="00132EAE"/>
    <w:rsid w:val="00133F70"/>
    <w:rsid w:val="001373EB"/>
    <w:rsid w:val="0014631B"/>
    <w:rsid w:val="00150468"/>
    <w:rsid w:val="00150EF8"/>
    <w:rsid w:val="00152213"/>
    <w:rsid w:val="00153942"/>
    <w:rsid w:val="00155DEE"/>
    <w:rsid w:val="00156D20"/>
    <w:rsid w:val="00157828"/>
    <w:rsid w:val="00157F94"/>
    <w:rsid w:val="00161564"/>
    <w:rsid w:val="00163E65"/>
    <w:rsid w:val="00164171"/>
    <w:rsid w:val="001663CE"/>
    <w:rsid w:val="00174D10"/>
    <w:rsid w:val="00176FC6"/>
    <w:rsid w:val="00177AFE"/>
    <w:rsid w:val="0018023B"/>
    <w:rsid w:val="00181FC3"/>
    <w:rsid w:val="00182771"/>
    <w:rsid w:val="00183C62"/>
    <w:rsid w:val="00183C7C"/>
    <w:rsid w:val="00191334"/>
    <w:rsid w:val="00192096"/>
    <w:rsid w:val="001939BF"/>
    <w:rsid w:val="00193B83"/>
    <w:rsid w:val="00193F65"/>
    <w:rsid w:val="001955F4"/>
    <w:rsid w:val="00195FA4"/>
    <w:rsid w:val="0019741C"/>
    <w:rsid w:val="0019777A"/>
    <w:rsid w:val="001A0365"/>
    <w:rsid w:val="001A3926"/>
    <w:rsid w:val="001A576C"/>
    <w:rsid w:val="001A7034"/>
    <w:rsid w:val="001B1380"/>
    <w:rsid w:val="001B3A71"/>
    <w:rsid w:val="001B55A1"/>
    <w:rsid w:val="001B5C29"/>
    <w:rsid w:val="001B5C76"/>
    <w:rsid w:val="001B61E2"/>
    <w:rsid w:val="001B7B88"/>
    <w:rsid w:val="001C1608"/>
    <w:rsid w:val="001C189A"/>
    <w:rsid w:val="001C32D4"/>
    <w:rsid w:val="001C7A12"/>
    <w:rsid w:val="001D220F"/>
    <w:rsid w:val="001D2A02"/>
    <w:rsid w:val="001D2DF9"/>
    <w:rsid w:val="001D3718"/>
    <w:rsid w:val="001D5A63"/>
    <w:rsid w:val="001E146F"/>
    <w:rsid w:val="001E4D63"/>
    <w:rsid w:val="001E54C6"/>
    <w:rsid w:val="001E5F36"/>
    <w:rsid w:val="001E79CE"/>
    <w:rsid w:val="001F0783"/>
    <w:rsid w:val="001F1713"/>
    <w:rsid w:val="001F17C6"/>
    <w:rsid w:val="001F331D"/>
    <w:rsid w:val="001F36FB"/>
    <w:rsid w:val="001F3BBD"/>
    <w:rsid w:val="001F6E44"/>
    <w:rsid w:val="001F7533"/>
    <w:rsid w:val="002006CC"/>
    <w:rsid w:val="00203D50"/>
    <w:rsid w:val="002042A9"/>
    <w:rsid w:val="00205595"/>
    <w:rsid w:val="00205E75"/>
    <w:rsid w:val="00205FA4"/>
    <w:rsid w:val="00207C70"/>
    <w:rsid w:val="0021013C"/>
    <w:rsid w:val="00210722"/>
    <w:rsid w:val="00212900"/>
    <w:rsid w:val="00215721"/>
    <w:rsid w:val="00216583"/>
    <w:rsid w:val="00217822"/>
    <w:rsid w:val="00217AE8"/>
    <w:rsid w:val="002220CE"/>
    <w:rsid w:val="00222E55"/>
    <w:rsid w:val="00225102"/>
    <w:rsid w:val="00225E82"/>
    <w:rsid w:val="002263E5"/>
    <w:rsid w:val="00226CED"/>
    <w:rsid w:val="002277C3"/>
    <w:rsid w:val="00230F80"/>
    <w:rsid w:val="0023180C"/>
    <w:rsid w:val="00232E53"/>
    <w:rsid w:val="002348D5"/>
    <w:rsid w:val="00234D7E"/>
    <w:rsid w:val="00237352"/>
    <w:rsid w:val="00240A9D"/>
    <w:rsid w:val="002431A2"/>
    <w:rsid w:val="00243CA7"/>
    <w:rsid w:val="00244977"/>
    <w:rsid w:val="0024566E"/>
    <w:rsid w:val="00246BE4"/>
    <w:rsid w:val="002505C2"/>
    <w:rsid w:val="002508C3"/>
    <w:rsid w:val="00250E78"/>
    <w:rsid w:val="002514A5"/>
    <w:rsid w:val="00251A7E"/>
    <w:rsid w:val="0025200B"/>
    <w:rsid w:val="0025385E"/>
    <w:rsid w:val="00253F40"/>
    <w:rsid w:val="002564E4"/>
    <w:rsid w:val="00257388"/>
    <w:rsid w:val="0026017A"/>
    <w:rsid w:val="002610C5"/>
    <w:rsid w:val="00261F7C"/>
    <w:rsid w:val="00263671"/>
    <w:rsid w:val="00264ABF"/>
    <w:rsid w:val="00265122"/>
    <w:rsid w:val="002658CD"/>
    <w:rsid w:val="00265900"/>
    <w:rsid w:val="002676AA"/>
    <w:rsid w:val="002702C8"/>
    <w:rsid w:val="00271862"/>
    <w:rsid w:val="00272B96"/>
    <w:rsid w:val="002757F8"/>
    <w:rsid w:val="00280844"/>
    <w:rsid w:val="0028166E"/>
    <w:rsid w:val="002834EB"/>
    <w:rsid w:val="002835CD"/>
    <w:rsid w:val="00284683"/>
    <w:rsid w:val="002865E3"/>
    <w:rsid w:val="00290B10"/>
    <w:rsid w:val="002910EA"/>
    <w:rsid w:val="002913A2"/>
    <w:rsid w:val="00293789"/>
    <w:rsid w:val="00293E34"/>
    <w:rsid w:val="00295595"/>
    <w:rsid w:val="002956FD"/>
    <w:rsid w:val="00295735"/>
    <w:rsid w:val="00295C48"/>
    <w:rsid w:val="00297100"/>
    <w:rsid w:val="002A1FA1"/>
    <w:rsid w:val="002A3BB0"/>
    <w:rsid w:val="002A65C2"/>
    <w:rsid w:val="002B0C29"/>
    <w:rsid w:val="002B446E"/>
    <w:rsid w:val="002B586F"/>
    <w:rsid w:val="002B6A39"/>
    <w:rsid w:val="002B6B9C"/>
    <w:rsid w:val="002C4348"/>
    <w:rsid w:val="002C64FA"/>
    <w:rsid w:val="002D16F3"/>
    <w:rsid w:val="002D208E"/>
    <w:rsid w:val="002D56EB"/>
    <w:rsid w:val="002D6C8E"/>
    <w:rsid w:val="002D7B2C"/>
    <w:rsid w:val="002D7EB1"/>
    <w:rsid w:val="002E2638"/>
    <w:rsid w:val="002E4BF7"/>
    <w:rsid w:val="002E6650"/>
    <w:rsid w:val="002E6DCA"/>
    <w:rsid w:val="002F24BF"/>
    <w:rsid w:val="002F56AB"/>
    <w:rsid w:val="002F5A9C"/>
    <w:rsid w:val="002F5C1E"/>
    <w:rsid w:val="002F650B"/>
    <w:rsid w:val="002F7973"/>
    <w:rsid w:val="00303D20"/>
    <w:rsid w:val="003105CE"/>
    <w:rsid w:val="00310ACA"/>
    <w:rsid w:val="0031124C"/>
    <w:rsid w:val="00313769"/>
    <w:rsid w:val="003140FD"/>
    <w:rsid w:val="00315920"/>
    <w:rsid w:val="003162BE"/>
    <w:rsid w:val="003242C5"/>
    <w:rsid w:val="00324EFF"/>
    <w:rsid w:val="00325310"/>
    <w:rsid w:val="00326E27"/>
    <w:rsid w:val="00327AB1"/>
    <w:rsid w:val="00331280"/>
    <w:rsid w:val="003318A8"/>
    <w:rsid w:val="00333AA7"/>
    <w:rsid w:val="003350B4"/>
    <w:rsid w:val="003357DA"/>
    <w:rsid w:val="00335D38"/>
    <w:rsid w:val="00336E9D"/>
    <w:rsid w:val="003379E6"/>
    <w:rsid w:val="0034412E"/>
    <w:rsid w:val="003444D5"/>
    <w:rsid w:val="00345BD0"/>
    <w:rsid w:val="00346EC3"/>
    <w:rsid w:val="00350C98"/>
    <w:rsid w:val="00351D8D"/>
    <w:rsid w:val="00351F36"/>
    <w:rsid w:val="00354BA4"/>
    <w:rsid w:val="00355389"/>
    <w:rsid w:val="00357DC1"/>
    <w:rsid w:val="00362941"/>
    <w:rsid w:val="003629D6"/>
    <w:rsid w:val="00364CB7"/>
    <w:rsid w:val="00364E92"/>
    <w:rsid w:val="0036535E"/>
    <w:rsid w:val="003653A6"/>
    <w:rsid w:val="0036748A"/>
    <w:rsid w:val="003724EA"/>
    <w:rsid w:val="00373CE4"/>
    <w:rsid w:val="003756C2"/>
    <w:rsid w:val="00377B4B"/>
    <w:rsid w:val="003800CF"/>
    <w:rsid w:val="00381F8F"/>
    <w:rsid w:val="0038361B"/>
    <w:rsid w:val="00383B10"/>
    <w:rsid w:val="003868E7"/>
    <w:rsid w:val="00392A85"/>
    <w:rsid w:val="003977C7"/>
    <w:rsid w:val="003A12F2"/>
    <w:rsid w:val="003A1485"/>
    <w:rsid w:val="003A2946"/>
    <w:rsid w:val="003A3C9F"/>
    <w:rsid w:val="003A58E2"/>
    <w:rsid w:val="003B2B70"/>
    <w:rsid w:val="003B36CA"/>
    <w:rsid w:val="003C0032"/>
    <w:rsid w:val="003C2AD1"/>
    <w:rsid w:val="003C2CFC"/>
    <w:rsid w:val="003C3248"/>
    <w:rsid w:val="003C38CE"/>
    <w:rsid w:val="003C4903"/>
    <w:rsid w:val="003C710E"/>
    <w:rsid w:val="003D177E"/>
    <w:rsid w:val="003D1906"/>
    <w:rsid w:val="003D5984"/>
    <w:rsid w:val="003D662B"/>
    <w:rsid w:val="003D7BE8"/>
    <w:rsid w:val="003E13C8"/>
    <w:rsid w:val="003E1AC7"/>
    <w:rsid w:val="003E3737"/>
    <w:rsid w:val="003E398A"/>
    <w:rsid w:val="003E485D"/>
    <w:rsid w:val="003F27FC"/>
    <w:rsid w:val="003F3A2F"/>
    <w:rsid w:val="003F3AAD"/>
    <w:rsid w:val="003F45EF"/>
    <w:rsid w:val="003F4F2E"/>
    <w:rsid w:val="003F6519"/>
    <w:rsid w:val="003F7ED0"/>
    <w:rsid w:val="00400DDB"/>
    <w:rsid w:val="004061DF"/>
    <w:rsid w:val="004075D8"/>
    <w:rsid w:val="00407CE5"/>
    <w:rsid w:val="004122DD"/>
    <w:rsid w:val="004248B2"/>
    <w:rsid w:val="004265C8"/>
    <w:rsid w:val="00432B14"/>
    <w:rsid w:val="00433818"/>
    <w:rsid w:val="00434158"/>
    <w:rsid w:val="00434D2B"/>
    <w:rsid w:val="00435312"/>
    <w:rsid w:val="004425F1"/>
    <w:rsid w:val="00445919"/>
    <w:rsid w:val="00445E83"/>
    <w:rsid w:val="00446238"/>
    <w:rsid w:val="004462F2"/>
    <w:rsid w:val="00447B60"/>
    <w:rsid w:val="0045089B"/>
    <w:rsid w:val="00450D60"/>
    <w:rsid w:val="00452742"/>
    <w:rsid w:val="004527CE"/>
    <w:rsid w:val="0045413A"/>
    <w:rsid w:val="004542C6"/>
    <w:rsid w:val="00454317"/>
    <w:rsid w:val="00455543"/>
    <w:rsid w:val="00457214"/>
    <w:rsid w:val="00460760"/>
    <w:rsid w:val="004626BE"/>
    <w:rsid w:val="004634A0"/>
    <w:rsid w:val="004637D0"/>
    <w:rsid w:val="004654C5"/>
    <w:rsid w:val="004677ED"/>
    <w:rsid w:val="00467AC6"/>
    <w:rsid w:val="00467AEA"/>
    <w:rsid w:val="00471432"/>
    <w:rsid w:val="0047351D"/>
    <w:rsid w:val="0047391E"/>
    <w:rsid w:val="00473AE3"/>
    <w:rsid w:val="00473F72"/>
    <w:rsid w:val="004763B4"/>
    <w:rsid w:val="00483EB2"/>
    <w:rsid w:val="004847C8"/>
    <w:rsid w:val="00486804"/>
    <w:rsid w:val="00490864"/>
    <w:rsid w:val="004913B2"/>
    <w:rsid w:val="00491557"/>
    <w:rsid w:val="00492DF0"/>
    <w:rsid w:val="00494F31"/>
    <w:rsid w:val="00495785"/>
    <w:rsid w:val="00495C6D"/>
    <w:rsid w:val="00495FF1"/>
    <w:rsid w:val="00497E93"/>
    <w:rsid w:val="004A23D7"/>
    <w:rsid w:val="004A50DD"/>
    <w:rsid w:val="004A5BB9"/>
    <w:rsid w:val="004A6C2D"/>
    <w:rsid w:val="004B3579"/>
    <w:rsid w:val="004B4939"/>
    <w:rsid w:val="004B520B"/>
    <w:rsid w:val="004B5714"/>
    <w:rsid w:val="004B59BF"/>
    <w:rsid w:val="004B6849"/>
    <w:rsid w:val="004B68F4"/>
    <w:rsid w:val="004B7BB0"/>
    <w:rsid w:val="004B7E20"/>
    <w:rsid w:val="004C0DD6"/>
    <w:rsid w:val="004C1297"/>
    <w:rsid w:val="004C1422"/>
    <w:rsid w:val="004C1882"/>
    <w:rsid w:val="004C250B"/>
    <w:rsid w:val="004C38CD"/>
    <w:rsid w:val="004C3BF9"/>
    <w:rsid w:val="004C786A"/>
    <w:rsid w:val="004C7BFE"/>
    <w:rsid w:val="004C7D57"/>
    <w:rsid w:val="004D2D15"/>
    <w:rsid w:val="004D4AF6"/>
    <w:rsid w:val="004D57E4"/>
    <w:rsid w:val="004D7A24"/>
    <w:rsid w:val="004E009F"/>
    <w:rsid w:val="004E035D"/>
    <w:rsid w:val="004E03A4"/>
    <w:rsid w:val="004E1492"/>
    <w:rsid w:val="004E277B"/>
    <w:rsid w:val="004E3493"/>
    <w:rsid w:val="004E48C8"/>
    <w:rsid w:val="004F294A"/>
    <w:rsid w:val="004F51BF"/>
    <w:rsid w:val="004F572D"/>
    <w:rsid w:val="004F677A"/>
    <w:rsid w:val="004F6D76"/>
    <w:rsid w:val="00502578"/>
    <w:rsid w:val="005041F0"/>
    <w:rsid w:val="00504AF6"/>
    <w:rsid w:val="00505A35"/>
    <w:rsid w:val="005073B1"/>
    <w:rsid w:val="00510E77"/>
    <w:rsid w:val="00515A6D"/>
    <w:rsid w:val="00515C74"/>
    <w:rsid w:val="00516A2D"/>
    <w:rsid w:val="00517DF4"/>
    <w:rsid w:val="0052164D"/>
    <w:rsid w:val="00521EFF"/>
    <w:rsid w:val="00524165"/>
    <w:rsid w:val="00525F95"/>
    <w:rsid w:val="005264B3"/>
    <w:rsid w:val="00527823"/>
    <w:rsid w:val="00527903"/>
    <w:rsid w:val="00530661"/>
    <w:rsid w:val="0053090C"/>
    <w:rsid w:val="00531A81"/>
    <w:rsid w:val="00531E5E"/>
    <w:rsid w:val="00532C3E"/>
    <w:rsid w:val="00533FF9"/>
    <w:rsid w:val="005347A9"/>
    <w:rsid w:val="00534976"/>
    <w:rsid w:val="00536F9D"/>
    <w:rsid w:val="005370E4"/>
    <w:rsid w:val="005411F2"/>
    <w:rsid w:val="00542D42"/>
    <w:rsid w:val="00543D4E"/>
    <w:rsid w:val="00544AB8"/>
    <w:rsid w:val="00546785"/>
    <w:rsid w:val="00546942"/>
    <w:rsid w:val="005529F1"/>
    <w:rsid w:val="00553832"/>
    <w:rsid w:val="0055429A"/>
    <w:rsid w:val="00554EA4"/>
    <w:rsid w:val="00560C67"/>
    <w:rsid w:val="00560F30"/>
    <w:rsid w:val="005634B6"/>
    <w:rsid w:val="00566F57"/>
    <w:rsid w:val="00567A60"/>
    <w:rsid w:val="00567C6A"/>
    <w:rsid w:val="00567F47"/>
    <w:rsid w:val="00570E62"/>
    <w:rsid w:val="0057446B"/>
    <w:rsid w:val="00574A9E"/>
    <w:rsid w:val="00576CB9"/>
    <w:rsid w:val="00577E4D"/>
    <w:rsid w:val="005804F6"/>
    <w:rsid w:val="00581F0B"/>
    <w:rsid w:val="0058207B"/>
    <w:rsid w:val="0058238F"/>
    <w:rsid w:val="00587A32"/>
    <w:rsid w:val="00590B66"/>
    <w:rsid w:val="005923FA"/>
    <w:rsid w:val="00593678"/>
    <w:rsid w:val="00593E6B"/>
    <w:rsid w:val="00597560"/>
    <w:rsid w:val="005A0BBE"/>
    <w:rsid w:val="005A114B"/>
    <w:rsid w:val="005A1A5F"/>
    <w:rsid w:val="005A2631"/>
    <w:rsid w:val="005A3104"/>
    <w:rsid w:val="005A6355"/>
    <w:rsid w:val="005A696E"/>
    <w:rsid w:val="005B0679"/>
    <w:rsid w:val="005B456C"/>
    <w:rsid w:val="005B489E"/>
    <w:rsid w:val="005B636F"/>
    <w:rsid w:val="005B7134"/>
    <w:rsid w:val="005C22FF"/>
    <w:rsid w:val="005C419B"/>
    <w:rsid w:val="005C436E"/>
    <w:rsid w:val="005C7272"/>
    <w:rsid w:val="005C77B2"/>
    <w:rsid w:val="005D1C05"/>
    <w:rsid w:val="005D2AB0"/>
    <w:rsid w:val="005D4E5C"/>
    <w:rsid w:val="005D50BB"/>
    <w:rsid w:val="005E2F8D"/>
    <w:rsid w:val="005E53AB"/>
    <w:rsid w:val="005E6C2D"/>
    <w:rsid w:val="005E7556"/>
    <w:rsid w:val="005E7E69"/>
    <w:rsid w:val="005F362A"/>
    <w:rsid w:val="005F43AA"/>
    <w:rsid w:val="005F58A6"/>
    <w:rsid w:val="005F5CD8"/>
    <w:rsid w:val="005F676F"/>
    <w:rsid w:val="005F6AAD"/>
    <w:rsid w:val="0060053F"/>
    <w:rsid w:val="00602B39"/>
    <w:rsid w:val="00602C39"/>
    <w:rsid w:val="00604D67"/>
    <w:rsid w:val="0060538B"/>
    <w:rsid w:val="00607065"/>
    <w:rsid w:val="006100E1"/>
    <w:rsid w:val="006128DB"/>
    <w:rsid w:val="00614353"/>
    <w:rsid w:val="0061614B"/>
    <w:rsid w:val="00617955"/>
    <w:rsid w:val="006205B2"/>
    <w:rsid w:val="006216AB"/>
    <w:rsid w:val="00621DA9"/>
    <w:rsid w:val="00622E14"/>
    <w:rsid w:val="00625DE5"/>
    <w:rsid w:val="0062632E"/>
    <w:rsid w:val="00630C4E"/>
    <w:rsid w:val="00631DF6"/>
    <w:rsid w:val="00632150"/>
    <w:rsid w:val="00632422"/>
    <w:rsid w:val="00632EE3"/>
    <w:rsid w:val="00635DD1"/>
    <w:rsid w:val="006360E9"/>
    <w:rsid w:val="00636FE9"/>
    <w:rsid w:val="00637426"/>
    <w:rsid w:val="00640847"/>
    <w:rsid w:val="00641E4E"/>
    <w:rsid w:val="00644E13"/>
    <w:rsid w:val="00646E4E"/>
    <w:rsid w:val="00650488"/>
    <w:rsid w:val="00650EF2"/>
    <w:rsid w:val="006530B7"/>
    <w:rsid w:val="00653D01"/>
    <w:rsid w:val="0065528D"/>
    <w:rsid w:val="00655E01"/>
    <w:rsid w:val="00655FA2"/>
    <w:rsid w:val="00656CFB"/>
    <w:rsid w:val="006624DF"/>
    <w:rsid w:val="00665022"/>
    <w:rsid w:val="006672D6"/>
    <w:rsid w:val="00673B4F"/>
    <w:rsid w:val="006749C7"/>
    <w:rsid w:val="006801E6"/>
    <w:rsid w:val="00680BE2"/>
    <w:rsid w:val="00681B6A"/>
    <w:rsid w:val="00683422"/>
    <w:rsid w:val="00684EE8"/>
    <w:rsid w:val="00685599"/>
    <w:rsid w:val="00685EAC"/>
    <w:rsid w:val="0068664B"/>
    <w:rsid w:val="00686BB7"/>
    <w:rsid w:val="00687C97"/>
    <w:rsid w:val="00690F0D"/>
    <w:rsid w:val="00693B57"/>
    <w:rsid w:val="0069626D"/>
    <w:rsid w:val="006A0C64"/>
    <w:rsid w:val="006A172D"/>
    <w:rsid w:val="006A3007"/>
    <w:rsid w:val="006A6330"/>
    <w:rsid w:val="006A71FB"/>
    <w:rsid w:val="006A7C92"/>
    <w:rsid w:val="006B08CD"/>
    <w:rsid w:val="006B1CDF"/>
    <w:rsid w:val="006B351F"/>
    <w:rsid w:val="006B4BCB"/>
    <w:rsid w:val="006B4FAA"/>
    <w:rsid w:val="006B57FD"/>
    <w:rsid w:val="006B5A76"/>
    <w:rsid w:val="006B5A8D"/>
    <w:rsid w:val="006C3DC3"/>
    <w:rsid w:val="006C4168"/>
    <w:rsid w:val="006C4C59"/>
    <w:rsid w:val="006C57A1"/>
    <w:rsid w:val="006C6895"/>
    <w:rsid w:val="006D2C34"/>
    <w:rsid w:val="006D5E19"/>
    <w:rsid w:val="006D6B07"/>
    <w:rsid w:val="006D6DE2"/>
    <w:rsid w:val="006D7798"/>
    <w:rsid w:val="006E0113"/>
    <w:rsid w:val="006E03C7"/>
    <w:rsid w:val="006E0DF0"/>
    <w:rsid w:val="006E280E"/>
    <w:rsid w:val="006E4E01"/>
    <w:rsid w:val="006E694E"/>
    <w:rsid w:val="006F055F"/>
    <w:rsid w:val="006F0D44"/>
    <w:rsid w:val="006F2378"/>
    <w:rsid w:val="006F3E46"/>
    <w:rsid w:val="006F572E"/>
    <w:rsid w:val="006F5B0E"/>
    <w:rsid w:val="006F6AF7"/>
    <w:rsid w:val="006F74AA"/>
    <w:rsid w:val="00700C69"/>
    <w:rsid w:val="00701D8D"/>
    <w:rsid w:val="00702D5F"/>
    <w:rsid w:val="007066B4"/>
    <w:rsid w:val="00707D6A"/>
    <w:rsid w:val="00707EEA"/>
    <w:rsid w:val="00711235"/>
    <w:rsid w:val="00711B7D"/>
    <w:rsid w:val="00713E09"/>
    <w:rsid w:val="00716233"/>
    <w:rsid w:val="00716DD2"/>
    <w:rsid w:val="00720B44"/>
    <w:rsid w:val="007215AB"/>
    <w:rsid w:val="00721D8B"/>
    <w:rsid w:val="007229AD"/>
    <w:rsid w:val="00726227"/>
    <w:rsid w:val="0073490C"/>
    <w:rsid w:val="007367BC"/>
    <w:rsid w:val="0074611D"/>
    <w:rsid w:val="00754317"/>
    <w:rsid w:val="00755BFC"/>
    <w:rsid w:val="00756170"/>
    <w:rsid w:val="00757916"/>
    <w:rsid w:val="0076069A"/>
    <w:rsid w:val="007614BD"/>
    <w:rsid w:val="00761626"/>
    <w:rsid w:val="00761D8E"/>
    <w:rsid w:val="00762CA5"/>
    <w:rsid w:val="00766EF3"/>
    <w:rsid w:val="00767179"/>
    <w:rsid w:val="007703F7"/>
    <w:rsid w:val="00770460"/>
    <w:rsid w:val="00771CB5"/>
    <w:rsid w:val="00771E9E"/>
    <w:rsid w:val="00772BC4"/>
    <w:rsid w:val="00775452"/>
    <w:rsid w:val="00777939"/>
    <w:rsid w:val="007803D0"/>
    <w:rsid w:val="00780FA4"/>
    <w:rsid w:val="00780FD4"/>
    <w:rsid w:val="00790352"/>
    <w:rsid w:val="00792D06"/>
    <w:rsid w:val="007957B2"/>
    <w:rsid w:val="007967C7"/>
    <w:rsid w:val="007A040A"/>
    <w:rsid w:val="007A09AB"/>
    <w:rsid w:val="007A0E2E"/>
    <w:rsid w:val="007A22D2"/>
    <w:rsid w:val="007A273A"/>
    <w:rsid w:val="007A74AD"/>
    <w:rsid w:val="007B2746"/>
    <w:rsid w:val="007B3E86"/>
    <w:rsid w:val="007B77CA"/>
    <w:rsid w:val="007B7B02"/>
    <w:rsid w:val="007C00F9"/>
    <w:rsid w:val="007C23AC"/>
    <w:rsid w:val="007C25F5"/>
    <w:rsid w:val="007C26ED"/>
    <w:rsid w:val="007C3C94"/>
    <w:rsid w:val="007C4575"/>
    <w:rsid w:val="007C4D41"/>
    <w:rsid w:val="007C696F"/>
    <w:rsid w:val="007D060C"/>
    <w:rsid w:val="007D2DDB"/>
    <w:rsid w:val="007D480E"/>
    <w:rsid w:val="007D51EF"/>
    <w:rsid w:val="007D5A15"/>
    <w:rsid w:val="007D5AED"/>
    <w:rsid w:val="007D60F5"/>
    <w:rsid w:val="007E38D6"/>
    <w:rsid w:val="007E60BF"/>
    <w:rsid w:val="007E744C"/>
    <w:rsid w:val="007F1C33"/>
    <w:rsid w:val="007F23EC"/>
    <w:rsid w:val="007F3C36"/>
    <w:rsid w:val="007F4B97"/>
    <w:rsid w:val="007F5583"/>
    <w:rsid w:val="007F5B44"/>
    <w:rsid w:val="008028E5"/>
    <w:rsid w:val="00803462"/>
    <w:rsid w:val="00803972"/>
    <w:rsid w:val="00804885"/>
    <w:rsid w:val="0081105F"/>
    <w:rsid w:val="00812F32"/>
    <w:rsid w:val="0081379E"/>
    <w:rsid w:val="00814150"/>
    <w:rsid w:val="00814532"/>
    <w:rsid w:val="00814B95"/>
    <w:rsid w:val="00814DD0"/>
    <w:rsid w:val="00817392"/>
    <w:rsid w:val="0082057F"/>
    <w:rsid w:val="00822332"/>
    <w:rsid w:val="008255B7"/>
    <w:rsid w:val="00825FA0"/>
    <w:rsid w:val="008266B3"/>
    <w:rsid w:val="00830A2A"/>
    <w:rsid w:val="00832205"/>
    <w:rsid w:val="00832D4B"/>
    <w:rsid w:val="0083325A"/>
    <w:rsid w:val="00835C63"/>
    <w:rsid w:val="00837F8A"/>
    <w:rsid w:val="0084043E"/>
    <w:rsid w:val="00843F96"/>
    <w:rsid w:val="0084416B"/>
    <w:rsid w:val="00845933"/>
    <w:rsid w:val="00846F18"/>
    <w:rsid w:val="00847773"/>
    <w:rsid w:val="00853D22"/>
    <w:rsid w:val="00855D12"/>
    <w:rsid w:val="00856DAB"/>
    <w:rsid w:val="0085738D"/>
    <w:rsid w:val="0086040F"/>
    <w:rsid w:val="008608C2"/>
    <w:rsid w:val="00861691"/>
    <w:rsid w:val="008619E8"/>
    <w:rsid w:val="00863006"/>
    <w:rsid w:val="00864982"/>
    <w:rsid w:val="0087148A"/>
    <w:rsid w:val="00872741"/>
    <w:rsid w:val="00872B41"/>
    <w:rsid w:val="008740D9"/>
    <w:rsid w:val="00876278"/>
    <w:rsid w:val="0088054A"/>
    <w:rsid w:val="00881B44"/>
    <w:rsid w:val="00883DCB"/>
    <w:rsid w:val="00891B23"/>
    <w:rsid w:val="00892596"/>
    <w:rsid w:val="00892C57"/>
    <w:rsid w:val="008930FB"/>
    <w:rsid w:val="008932A3"/>
    <w:rsid w:val="008A35B3"/>
    <w:rsid w:val="008A383E"/>
    <w:rsid w:val="008A3BB9"/>
    <w:rsid w:val="008A5AEC"/>
    <w:rsid w:val="008A6768"/>
    <w:rsid w:val="008B3E96"/>
    <w:rsid w:val="008B4D1B"/>
    <w:rsid w:val="008B53C3"/>
    <w:rsid w:val="008B73B2"/>
    <w:rsid w:val="008B7AF5"/>
    <w:rsid w:val="008C0A00"/>
    <w:rsid w:val="008C0CD4"/>
    <w:rsid w:val="008C323F"/>
    <w:rsid w:val="008C34BA"/>
    <w:rsid w:val="008C3542"/>
    <w:rsid w:val="008C58C6"/>
    <w:rsid w:val="008C5D38"/>
    <w:rsid w:val="008C71C6"/>
    <w:rsid w:val="008D017E"/>
    <w:rsid w:val="008D053D"/>
    <w:rsid w:val="008D371D"/>
    <w:rsid w:val="008D6F94"/>
    <w:rsid w:val="008E2AE5"/>
    <w:rsid w:val="008E315C"/>
    <w:rsid w:val="008E3B21"/>
    <w:rsid w:val="008E3DC0"/>
    <w:rsid w:val="008E6463"/>
    <w:rsid w:val="008E70C3"/>
    <w:rsid w:val="008E7A9E"/>
    <w:rsid w:val="008F0E6C"/>
    <w:rsid w:val="008F5DE8"/>
    <w:rsid w:val="008F61F2"/>
    <w:rsid w:val="008F6AAE"/>
    <w:rsid w:val="008F7FC6"/>
    <w:rsid w:val="0090087E"/>
    <w:rsid w:val="0090093D"/>
    <w:rsid w:val="00901A2F"/>
    <w:rsid w:val="00902E82"/>
    <w:rsid w:val="009032C0"/>
    <w:rsid w:val="009106F5"/>
    <w:rsid w:val="00911D0E"/>
    <w:rsid w:val="009135FB"/>
    <w:rsid w:val="00913AF7"/>
    <w:rsid w:val="009140D2"/>
    <w:rsid w:val="009143AE"/>
    <w:rsid w:val="00915104"/>
    <w:rsid w:val="00923DF8"/>
    <w:rsid w:val="00925892"/>
    <w:rsid w:val="00926F73"/>
    <w:rsid w:val="00931000"/>
    <w:rsid w:val="0093324D"/>
    <w:rsid w:val="009349AF"/>
    <w:rsid w:val="00935AFB"/>
    <w:rsid w:val="00936B73"/>
    <w:rsid w:val="00940A0E"/>
    <w:rsid w:val="009425FA"/>
    <w:rsid w:val="00946159"/>
    <w:rsid w:val="00946173"/>
    <w:rsid w:val="00950EED"/>
    <w:rsid w:val="00951693"/>
    <w:rsid w:val="009529EB"/>
    <w:rsid w:val="00953B99"/>
    <w:rsid w:val="009551A5"/>
    <w:rsid w:val="009600D5"/>
    <w:rsid w:val="00960DE7"/>
    <w:rsid w:val="0096278C"/>
    <w:rsid w:val="009647ED"/>
    <w:rsid w:val="0096531A"/>
    <w:rsid w:val="00965F8A"/>
    <w:rsid w:val="00972762"/>
    <w:rsid w:val="009735B5"/>
    <w:rsid w:val="0097534D"/>
    <w:rsid w:val="00980EC9"/>
    <w:rsid w:val="0098215C"/>
    <w:rsid w:val="00983BF1"/>
    <w:rsid w:val="00984E10"/>
    <w:rsid w:val="00990013"/>
    <w:rsid w:val="00992BEB"/>
    <w:rsid w:val="00993987"/>
    <w:rsid w:val="009939B6"/>
    <w:rsid w:val="0099411B"/>
    <w:rsid w:val="00994EDF"/>
    <w:rsid w:val="00995696"/>
    <w:rsid w:val="0099770D"/>
    <w:rsid w:val="00997D69"/>
    <w:rsid w:val="009A0157"/>
    <w:rsid w:val="009A1C2F"/>
    <w:rsid w:val="009A5245"/>
    <w:rsid w:val="009A64BC"/>
    <w:rsid w:val="009A6DC5"/>
    <w:rsid w:val="009B5062"/>
    <w:rsid w:val="009B53F4"/>
    <w:rsid w:val="009B5A78"/>
    <w:rsid w:val="009B5EDD"/>
    <w:rsid w:val="009B71C8"/>
    <w:rsid w:val="009C0133"/>
    <w:rsid w:val="009C3699"/>
    <w:rsid w:val="009C5619"/>
    <w:rsid w:val="009C5898"/>
    <w:rsid w:val="009C6576"/>
    <w:rsid w:val="009D1A2C"/>
    <w:rsid w:val="009D1F90"/>
    <w:rsid w:val="009D25A8"/>
    <w:rsid w:val="009D6A38"/>
    <w:rsid w:val="009E3698"/>
    <w:rsid w:val="009E3DE2"/>
    <w:rsid w:val="009E6AF7"/>
    <w:rsid w:val="009E6B0F"/>
    <w:rsid w:val="009E7FF2"/>
    <w:rsid w:val="009F01E2"/>
    <w:rsid w:val="009F0C78"/>
    <w:rsid w:val="009F1020"/>
    <w:rsid w:val="009F23C8"/>
    <w:rsid w:val="009F2510"/>
    <w:rsid w:val="009F5907"/>
    <w:rsid w:val="009F63EE"/>
    <w:rsid w:val="00A11744"/>
    <w:rsid w:val="00A1205D"/>
    <w:rsid w:val="00A169C4"/>
    <w:rsid w:val="00A176F6"/>
    <w:rsid w:val="00A203D8"/>
    <w:rsid w:val="00A21C04"/>
    <w:rsid w:val="00A2296A"/>
    <w:rsid w:val="00A22B96"/>
    <w:rsid w:val="00A239B5"/>
    <w:rsid w:val="00A23F3E"/>
    <w:rsid w:val="00A24F2B"/>
    <w:rsid w:val="00A2679E"/>
    <w:rsid w:val="00A26D0C"/>
    <w:rsid w:val="00A27E82"/>
    <w:rsid w:val="00A307BE"/>
    <w:rsid w:val="00A32450"/>
    <w:rsid w:val="00A33E48"/>
    <w:rsid w:val="00A3602B"/>
    <w:rsid w:val="00A37591"/>
    <w:rsid w:val="00A4051C"/>
    <w:rsid w:val="00A4130A"/>
    <w:rsid w:val="00A41515"/>
    <w:rsid w:val="00A422D0"/>
    <w:rsid w:val="00A43ED6"/>
    <w:rsid w:val="00A4468C"/>
    <w:rsid w:val="00A45F63"/>
    <w:rsid w:val="00A52666"/>
    <w:rsid w:val="00A545EC"/>
    <w:rsid w:val="00A553F5"/>
    <w:rsid w:val="00A61B71"/>
    <w:rsid w:val="00A620DD"/>
    <w:rsid w:val="00A62F17"/>
    <w:rsid w:val="00A63AC0"/>
    <w:rsid w:val="00A7492C"/>
    <w:rsid w:val="00A766E4"/>
    <w:rsid w:val="00A77D43"/>
    <w:rsid w:val="00A809A0"/>
    <w:rsid w:val="00A80C1F"/>
    <w:rsid w:val="00A81A35"/>
    <w:rsid w:val="00A8414E"/>
    <w:rsid w:val="00A84FAD"/>
    <w:rsid w:val="00A86070"/>
    <w:rsid w:val="00A86540"/>
    <w:rsid w:val="00A86AFC"/>
    <w:rsid w:val="00A872AF"/>
    <w:rsid w:val="00A878DD"/>
    <w:rsid w:val="00A9274B"/>
    <w:rsid w:val="00A971CE"/>
    <w:rsid w:val="00AA2E08"/>
    <w:rsid w:val="00AA3749"/>
    <w:rsid w:val="00AA4F71"/>
    <w:rsid w:val="00AA642C"/>
    <w:rsid w:val="00AA7316"/>
    <w:rsid w:val="00AB01B7"/>
    <w:rsid w:val="00AB072B"/>
    <w:rsid w:val="00AB0950"/>
    <w:rsid w:val="00AB0F2C"/>
    <w:rsid w:val="00AB1A17"/>
    <w:rsid w:val="00AB4717"/>
    <w:rsid w:val="00AB58CA"/>
    <w:rsid w:val="00AB686A"/>
    <w:rsid w:val="00AB7205"/>
    <w:rsid w:val="00AC02A6"/>
    <w:rsid w:val="00AC06CC"/>
    <w:rsid w:val="00AC2A0D"/>
    <w:rsid w:val="00AC3720"/>
    <w:rsid w:val="00AC3E71"/>
    <w:rsid w:val="00AC67C2"/>
    <w:rsid w:val="00AD26FA"/>
    <w:rsid w:val="00AD3AB8"/>
    <w:rsid w:val="00AD536F"/>
    <w:rsid w:val="00AE09AA"/>
    <w:rsid w:val="00AE17C8"/>
    <w:rsid w:val="00AE2893"/>
    <w:rsid w:val="00AE2EB5"/>
    <w:rsid w:val="00AE3F1A"/>
    <w:rsid w:val="00AE4CEA"/>
    <w:rsid w:val="00AE52A9"/>
    <w:rsid w:val="00AE5354"/>
    <w:rsid w:val="00AF1FD0"/>
    <w:rsid w:val="00AF24C0"/>
    <w:rsid w:val="00AF367F"/>
    <w:rsid w:val="00AF41E7"/>
    <w:rsid w:val="00AF425F"/>
    <w:rsid w:val="00AF4CB8"/>
    <w:rsid w:val="00AF6785"/>
    <w:rsid w:val="00B01A1D"/>
    <w:rsid w:val="00B0203F"/>
    <w:rsid w:val="00B03BDA"/>
    <w:rsid w:val="00B052C2"/>
    <w:rsid w:val="00B05CE1"/>
    <w:rsid w:val="00B110C8"/>
    <w:rsid w:val="00B114DA"/>
    <w:rsid w:val="00B142F7"/>
    <w:rsid w:val="00B1778E"/>
    <w:rsid w:val="00B20E7E"/>
    <w:rsid w:val="00B26A48"/>
    <w:rsid w:val="00B2776F"/>
    <w:rsid w:val="00B301E4"/>
    <w:rsid w:val="00B32915"/>
    <w:rsid w:val="00B345C8"/>
    <w:rsid w:val="00B35AC3"/>
    <w:rsid w:val="00B3610E"/>
    <w:rsid w:val="00B378DC"/>
    <w:rsid w:val="00B37ACD"/>
    <w:rsid w:val="00B40054"/>
    <w:rsid w:val="00B401EC"/>
    <w:rsid w:val="00B435BE"/>
    <w:rsid w:val="00B4753A"/>
    <w:rsid w:val="00B47995"/>
    <w:rsid w:val="00B508D7"/>
    <w:rsid w:val="00B509DB"/>
    <w:rsid w:val="00B52074"/>
    <w:rsid w:val="00B5445A"/>
    <w:rsid w:val="00B5740D"/>
    <w:rsid w:val="00B5743D"/>
    <w:rsid w:val="00B600CD"/>
    <w:rsid w:val="00B604A0"/>
    <w:rsid w:val="00B620BB"/>
    <w:rsid w:val="00B6262F"/>
    <w:rsid w:val="00B62A7F"/>
    <w:rsid w:val="00B65083"/>
    <w:rsid w:val="00B7088A"/>
    <w:rsid w:val="00B710A6"/>
    <w:rsid w:val="00B73107"/>
    <w:rsid w:val="00B74E6B"/>
    <w:rsid w:val="00B80FC3"/>
    <w:rsid w:val="00B827FD"/>
    <w:rsid w:val="00B85012"/>
    <w:rsid w:val="00B851FB"/>
    <w:rsid w:val="00B85821"/>
    <w:rsid w:val="00B867A5"/>
    <w:rsid w:val="00B8686E"/>
    <w:rsid w:val="00B86E3C"/>
    <w:rsid w:val="00B872EB"/>
    <w:rsid w:val="00B8750D"/>
    <w:rsid w:val="00B90990"/>
    <w:rsid w:val="00B919D9"/>
    <w:rsid w:val="00B92A28"/>
    <w:rsid w:val="00B955F8"/>
    <w:rsid w:val="00B96ABF"/>
    <w:rsid w:val="00B97009"/>
    <w:rsid w:val="00BA134B"/>
    <w:rsid w:val="00BA1AC6"/>
    <w:rsid w:val="00BA281D"/>
    <w:rsid w:val="00BA4484"/>
    <w:rsid w:val="00BA6F94"/>
    <w:rsid w:val="00BA7292"/>
    <w:rsid w:val="00BA7C01"/>
    <w:rsid w:val="00BB1EDD"/>
    <w:rsid w:val="00BB4785"/>
    <w:rsid w:val="00BB6CFE"/>
    <w:rsid w:val="00BB71FF"/>
    <w:rsid w:val="00BC01BE"/>
    <w:rsid w:val="00BC1754"/>
    <w:rsid w:val="00BC191B"/>
    <w:rsid w:val="00BC2014"/>
    <w:rsid w:val="00BC26A2"/>
    <w:rsid w:val="00BC314B"/>
    <w:rsid w:val="00BC4398"/>
    <w:rsid w:val="00BC4DAC"/>
    <w:rsid w:val="00BC60F4"/>
    <w:rsid w:val="00BC777D"/>
    <w:rsid w:val="00BC7FF3"/>
    <w:rsid w:val="00BD0253"/>
    <w:rsid w:val="00BD170B"/>
    <w:rsid w:val="00BD2531"/>
    <w:rsid w:val="00BD28BE"/>
    <w:rsid w:val="00BD6505"/>
    <w:rsid w:val="00BE1033"/>
    <w:rsid w:val="00BE1BCE"/>
    <w:rsid w:val="00BE2E42"/>
    <w:rsid w:val="00BE301A"/>
    <w:rsid w:val="00BE39FD"/>
    <w:rsid w:val="00BE4659"/>
    <w:rsid w:val="00BE4A1B"/>
    <w:rsid w:val="00BE4BDE"/>
    <w:rsid w:val="00BE4C72"/>
    <w:rsid w:val="00BE567A"/>
    <w:rsid w:val="00BE5A73"/>
    <w:rsid w:val="00BF0BC9"/>
    <w:rsid w:val="00BF118F"/>
    <w:rsid w:val="00BF2869"/>
    <w:rsid w:val="00BF4F86"/>
    <w:rsid w:val="00BF5472"/>
    <w:rsid w:val="00C0091D"/>
    <w:rsid w:val="00C12AD6"/>
    <w:rsid w:val="00C136D4"/>
    <w:rsid w:val="00C147D3"/>
    <w:rsid w:val="00C14F2D"/>
    <w:rsid w:val="00C15137"/>
    <w:rsid w:val="00C15989"/>
    <w:rsid w:val="00C15D6D"/>
    <w:rsid w:val="00C17478"/>
    <w:rsid w:val="00C20721"/>
    <w:rsid w:val="00C2264C"/>
    <w:rsid w:val="00C2317A"/>
    <w:rsid w:val="00C2320E"/>
    <w:rsid w:val="00C23A90"/>
    <w:rsid w:val="00C240EB"/>
    <w:rsid w:val="00C26A3F"/>
    <w:rsid w:val="00C27C8B"/>
    <w:rsid w:val="00C313B5"/>
    <w:rsid w:val="00C4020B"/>
    <w:rsid w:val="00C41A08"/>
    <w:rsid w:val="00C41C1B"/>
    <w:rsid w:val="00C430A9"/>
    <w:rsid w:val="00C43652"/>
    <w:rsid w:val="00C444FF"/>
    <w:rsid w:val="00C46988"/>
    <w:rsid w:val="00C4754A"/>
    <w:rsid w:val="00C50A7A"/>
    <w:rsid w:val="00C50E5B"/>
    <w:rsid w:val="00C51225"/>
    <w:rsid w:val="00C518E3"/>
    <w:rsid w:val="00C55C40"/>
    <w:rsid w:val="00C57429"/>
    <w:rsid w:val="00C57453"/>
    <w:rsid w:val="00C578C2"/>
    <w:rsid w:val="00C57D9E"/>
    <w:rsid w:val="00C61B10"/>
    <w:rsid w:val="00C62156"/>
    <w:rsid w:val="00C64071"/>
    <w:rsid w:val="00C66672"/>
    <w:rsid w:val="00C70293"/>
    <w:rsid w:val="00C71459"/>
    <w:rsid w:val="00C7330A"/>
    <w:rsid w:val="00C738C4"/>
    <w:rsid w:val="00C741E5"/>
    <w:rsid w:val="00C7613D"/>
    <w:rsid w:val="00C76307"/>
    <w:rsid w:val="00C80F7E"/>
    <w:rsid w:val="00C82AFD"/>
    <w:rsid w:val="00C84A9D"/>
    <w:rsid w:val="00C84D85"/>
    <w:rsid w:val="00C87222"/>
    <w:rsid w:val="00C87386"/>
    <w:rsid w:val="00C873CE"/>
    <w:rsid w:val="00C92D7F"/>
    <w:rsid w:val="00C94A61"/>
    <w:rsid w:val="00C956B0"/>
    <w:rsid w:val="00C96330"/>
    <w:rsid w:val="00C9689A"/>
    <w:rsid w:val="00CA0AAB"/>
    <w:rsid w:val="00CA0BDE"/>
    <w:rsid w:val="00CA1767"/>
    <w:rsid w:val="00CA2777"/>
    <w:rsid w:val="00CA7B69"/>
    <w:rsid w:val="00CB1D3F"/>
    <w:rsid w:val="00CB25DC"/>
    <w:rsid w:val="00CB304F"/>
    <w:rsid w:val="00CB4804"/>
    <w:rsid w:val="00CB53B5"/>
    <w:rsid w:val="00CB6B8A"/>
    <w:rsid w:val="00CB74CE"/>
    <w:rsid w:val="00CC089F"/>
    <w:rsid w:val="00CC0A27"/>
    <w:rsid w:val="00CC1035"/>
    <w:rsid w:val="00CC265E"/>
    <w:rsid w:val="00CC2A27"/>
    <w:rsid w:val="00CC4006"/>
    <w:rsid w:val="00CC4BE4"/>
    <w:rsid w:val="00CC4D97"/>
    <w:rsid w:val="00CC6808"/>
    <w:rsid w:val="00CC77FC"/>
    <w:rsid w:val="00CD2F4F"/>
    <w:rsid w:val="00CD735E"/>
    <w:rsid w:val="00CD7718"/>
    <w:rsid w:val="00CE1DD8"/>
    <w:rsid w:val="00CE2B42"/>
    <w:rsid w:val="00CE3563"/>
    <w:rsid w:val="00CE4110"/>
    <w:rsid w:val="00CE508F"/>
    <w:rsid w:val="00CE577A"/>
    <w:rsid w:val="00CE608C"/>
    <w:rsid w:val="00CE6569"/>
    <w:rsid w:val="00CE763F"/>
    <w:rsid w:val="00CE76F3"/>
    <w:rsid w:val="00CF06E1"/>
    <w:rsid w:val="00CF1213"/>
    <w:rsid w:val="00CF1C7B"/>
    <w:rsid w:val="00CF220F"/>
    <w:rsid w:val="00CF36F8"/>
    <w:rsid w:val="00CF552B"/>
    <w:rsid w:val="00CF60AA"/>
    <w:rsid w:val="00CF6C19"/>
    <w:rsid w:val="00D01A5B"/>
    <w:rsid w:val="00D0267B"/>
    <w:rsid w:val="00D07A93"/>
    <w:rsid w:val="00D111FD"/>
    <w:rsid w:val="00D12F99"/>
    <w:rsid w:val="00D13322"/>
    <w:rsid w:val="00D13DCE"/>
    <w:rsid w:val="00D14519"/>
    <w:rsid w:val="00D1684C"/>
    <w:rsid w:val="00D2022A"/>
    <w:rsid w:val="00D2222A"/>
    <w:rsid w:val="00D248F5"/>
    <w:rsid w:val="00D25C86"/>
    <w:rsid w:val="00D26FB0"/>
    <w:rsid w:val="00D30F9D"/>
    <w:rsid w:val="00D31627"/>
    <w:rsid w:val="00D33D0F"/>
    <w:rsid w:val="00D36C66"/>
    <w:rsid w:val="00D37E2E"/>
    <w:rsid w:val="00D40719"/>
    <w:rsid w:val="00D442C2"/>
    <w:rsid w:val="00D45A78"/>
    <w:rsid w:val="00D46009"/>
    <w:rsid w:val="00D5084C"/>
    <w:rsid w:val="00D52F67"/>
    <w:rsid w:val="00D53A5D"/>
    <w:rsid w:val="00D55205"/>
    <w:rsid w:val="00D62287"/>
    <w:rsid w:val="00D6267E"/>
    <w:rsid w:val="00D63B47"/>
    <w:rsid w:val="00D64ED5"/>
    <w:rsid w:val="00D662EF"/>
    <w:rsid w:val="00D6706C"/>
    <w:rsid w:val="00D67AD1"/>
    <w:rsid w:val="00D708B7"/>
    <w:rsid w:val="00D7339B"/>
    <w:rsid w:val="00D76595"/>
    <w:rsid w:val="00D775C7"/>
    <w:rsid w:val="00D8462B"/>
    <w:rsid w:val="00D85098"/>
    <w:rsid w:val="00D93429"/>
    <w:rsid w:val="00DA03B0"/>
    <w:rsid w:val="00DA1325"/>
    <w:rsid w:val="00DA3B02"/>
    <w:rsid w:val="00DA61F5"/>
    <w:rsid w:val="00DA6B13"/>
    <w:rsid w:val="00DB2706"/>
    <w:rsid w:val="00DB30EA"/>
    <w:rsid w:val="00DB3BCE"/>
    <w:rsid w:val="00DB4DA9"/>
    <w:rsid w:val="00DB6024"/>
    <w:rsid w:val="00DB6106"/>
    <w:rsid w:val="00DB6C3E"/>
    <w:rsid w:val="00DC17A3"/>
    <w:rsid w:val="00DC2587"/>
    <w:rsid w:val="00DC25BE"/>
    <w:rsid w:val="00DC34D1"/>
    <w:rsid w:val="00DC3966"/>
    <w:rsid w:val="00DC440F"/>
    <w:rsid w:val="00DC4EFF"/>
    <w:rsid w:val="00DC67CF"/>
    <w:rsid w:val="00DC7B67"/>
    <w:rsid w:val="00DC7E98"/>
    <w:rsid w:val="00DD1F69"/>
    <w:rsid w:val="00DD2F47"/>
    <w:rsid w:val="00DD39E1"/>
    <w:rsid w:val="00DD5520"/>
    <w:rsid w:val="00DD728B"/>
    <w:rsid w:val="00DE0CD5"/>
    <w:rsid w:val="00DE2BC3"/>
    <w:rsid w:val="00DE6C81"/>
    <w:rsid w:val="00DE6E11"/>
    <w:rsid w:val="00DF078D"/>
    <w:rsid w:val="00DF1430"/>
    <w:rsid w:val="00DF1D83"/>
    <w:rsid w:val="00DF7266"/>
    <w:rsid w:val="00E029B6"/>
    <w:rsid w:val="00E03C95"/>
    <w:rsid w:val="00E06E86"/>
    <w:rsid w:val="00E108BD"/>
    <w:rsid w:val="00E13A9E"/>
    <w:rsid w:val="00E14259"/>
    <w:rsid w:val="00E14963"/>
    <w:rsid w:val="00E16248"/>
    <w:rsid w:val="00E26DE0"/>
    <w:rsid w:val="00E2721E"/>
    <w:rsid w:val="00E27B58"/>
    <w:rsid w:val="00E30DC4"/>
    <w:rsid w:val="00E3111A"/>
    <w:rsid w:val="00E3508A"/>
    <w:rsid w:val="00E359B0"/>
    <w:rsid w:val="00E3646E"/>
    <w:rsid w:val="00E36DD4"/>
    <w:rsid w:val="00E37D7B"/>
    <w:rsid w:val="00E41D32"/>
    <w:rsid w:val="00E44023"/>
    <w:rsid w:val="00E441E5"/>
    <w:rsid w:val="00E4431A"/>
    <w:rsid w:val="00E52002"/>
    <w:rsid w:val="00E52B0D"/>
    <w:rsid w:val="00E53942"/>
    <w:rsid w:val="00E55269"/>
    <w:rsid w:val="00E55846"/>
    <w:rsid w:val="00E56CE0"/>
    <w:rsid w:val="00E56F1B"/>
    <w:rsid w:val="00E574FC"/>
    <w:rsid w:val="00E60C80"/>
    <w:rsid w:val="00E613A0"/>
    <w:rsid w:val="00E61EB8"/>
    <w:rsid w:val="00E61FC2"/>
    <w:rsid w:val="00E62C02"/>
    <w:rsid w:val="00E64E0C"/>
    <w:rsid w:val="00E65936"/>
    <w:rsid w:val="00E66775"/>
    <w:rsid w:val="00E66F17"/>
    <w:rsid w:val="00E674DC"/>
    <w:rsid w:val="00E71B93"/>
    <w:rsid w:val="00E72878"/>
    <w:rsid w:val="00E77933"/>
    <w:rsid w:val="00E803B1"/>
    <w:rsid w:val="00E80684"/>
    <w:rsid w:val="00E81053"/>
    <w:rsid w:val="00E81E57"/>
    <w:rsid w:val="00E82817"/>
    <w:rsid w:val="00E82865"/>
    <w:rsid w:val="00E863BB"/>
    <w:rsid w:val="00E875EC"/>
    <w:rsid w:val="00E876F8"/>
    <w:rsid w:val="00E907B3"/>
    <w:rsid w:val="00E92260"/>
    <w:rsid w:val="00EA0234"/>
    <w:rsid w:val="00EA13FD"/>
    <w:rsid w:val="00EA3326"/>
    <w:rsid w:val="00EA3BE7"/>
    <w:rsid w:val="00EB5C0D"/>
    <w:rsid w:val="00EC06E1"/>
    <w:rsid w:val="00EC1DC3"/>
    <w:rsid w:val="00EC2332"/>
    <w:rsid w:val="00EC4A5B"/>
    <w:rsid w:val="00EC6CFD"/>
    <w:rsid w:val="00EC76C6"/>
    <w:rsid w:val="00ED0FB9"/>
    <w:rsid w:val="00ED21F7"/>
    <w:rsid w:val="00ED3361"/>
    <w:rsid w:val="00ED3723"/>
    <w:rsid w:val="00ED4808"/>
    <w:rsid w:val="00ED4D6E"/>
    <w:rsid w:val="00ED565C"/>
    <w:rsid w:val="00ED63B7"/>
    <w:rsid w:val="00ED78C8"/>
    <w:rsid w:val="00ED7E60"/>
    <w:rsid w:val="00EE01F7"/>
    <w:rsid w:val="00EE08A1"/>
    <w:rsid w:val="00EE1212"/>
    <w:rsid w:val="00EE15E7"/>
    <w:rsid w:val="00EE2758"/>
    <w:rsid w:val="00EE2B2F"/>
    <w:rsid w:val="00EE58B4"/>
    <w:rsid w:val="00EE6D56"/>
    <w:rsid w:val="00EF0091"/>
    <w:rsid w:val="00EF1D6C"/>
    <w:rsid w:val="00EF2CB6"/>
    <w:rsid w:val="00EF4487"/>
    <w:rsid w:val="00EF4CC5"/>
    <w:rsid w:val="00EF51E9"/>
    <w:rsid w:val="00EF67C9"/>
    <w:rsid w:val="00EF686F"/>
    <w:rsid w:val="00EF7FD4"/>
    <w:rsid w:val="00F00F30"/>
    <w:rsid w:val="00F02304"/>
    <w:rsid w:val="00F05EBE"/>
    <w:rsid w:val="00F0784A"/>
    <w:rsid w:val="00F10465"/>
    <w:rsid w:val="00F12851"/>
    <w:rsid w:val="00F1489C"/>
    <w:rsid w:val="00F15A6F"/>
    <w:rsid w:val="00F20FF6"/>
    <w:rsid w:val="00F2230C"/>
    <w:rsid w:val="00F2689C"/>
    <w:rsid w:val="00F26A33"/>
    <w:rsid w:val="00F2727A"/>
    <w:rsid w:val="00F303A7"/>
    <w:rsid w:val="00F304E4"/>
    <w:rsid w:val="00F32693"/>
    <w:rsid w:val="00F33FE8"/>
    <w:rsid w:val="00F3476C"/>
    <w:rsid w:val="00F35FB6"/>
    <w:rsid w:val="00F41823"/>
    <w:rsid w:val="00F44394"/>
    <w:rsid w:val="00F46E69"/>
    <w:rsid w:val="00F50BFE"/>
    <w:rsid w:val="00F51DD4"/>
    <w:rsid w:val="00F52B90"/>
    <w:rsid w:val="00F5394F"/>
    <w:rsid w:val="00F565B2"/>
    <w:rsid w:val="00F57807"/>
    <w:rsid w:val="00F62DCA"/>
    <w:rsid w:val="00F640A4"/>
    <w:rsid w:val="00F6550B"/>
    <w:rsid w:val="00F65B44"/>
    <w:rsid w:val="00F66DCE"/>
    <w:rsid w:val="00F70ACE"/>
    <w:rsid w:val="00F7137A"/>
    <w:rsid w:val="00F7437A"/>
    <w:rsid w:val="00F74496"/>
    <w:rsid w:val="00F75036"/>
    <w:rsid w:val="00F81D55"/>
    <w:rsid w:val="00F828E6"/>
    <w:rsid w:val="00F849BC"/>
    <w:rsid w:val="00F850F1"/>
    <w:rsid w:val="00F858F2"/>
    <w:rsid w:val="00F85C6F"/>
    <w:rsid w:val="00F87B53"/>
    <w:rsid w:val="00F87F7B"/>
    <w:rsid w:val="00F90BF3"/>
    <w:rsid w:val="00F91156"/>
    <w:rsid w:val="00F9201B"/>
    <w:rsid w:val="00F923BA"/>
    <w:rsid w:val="00F951D8"/>
    <w:rsid w:val="00F9750C"/>
    <w:rsid w:val="00FA1118"/>
    <w:rsid w:val="00FA39BB"/>
    <w:rsid w:val="00FA3AE5"/>
    <w:rsid w:val="00FA6723"/>
    <w:rsid w:val="00FA6C1A"/>
    <w:rsid w:val="00FB15FF"/>
    <w:rsid w:val="00FB2B51"/>
    <w:rsid w:val="00FB41E8"/>
    <w:rsid w:val="00FB45CD"/>
    <w:rsid w:val="00FB5881"/>
    <w:rsid w:val="00FC134D"/>
    <w:rsid w:val="00FC164E"/>
    <w:rsid w:val="00FC20ED"/>
    <w:rsid w:val="00FC487B"/>
    <w:rsid w:val="00FC52E3"/>
    <w:rsid w:val="00FC5F8D"/>
    <w:rsid w:val="00FC6C38"/>
    <w:rsid w:val="00FC6CA1"/>
    <w:rsid w:val="00FD07E5"/>
    <w:rsid w:val="00FD0CAC"/>
    <w:rsid w:val="00FD2BF1"/>
    <w:rsid w:val="00FD582B"/>
    <w:rsid w:val="00FE0305"/>
    <w:rsid w:val="00FE1099"/>
    <w:rsid w:val="00FE34B6"/>
    <w:rsid w:val="00FE3E89"/>
    <w:rsid w:val="00FE5F98"/>
    <w:rsid w:val="00FF0A62"/>
    <w:rsid w:val="00FF222A"/>
    <w:rsid w:val="00FF361E"/>
    <w:rsid w:val="00FF4CD0"/>
    <w:rsid w:val="00FF514F"/>
    <w:rsid w:val="00FF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CC58D"/>
  <w15:chartTrackingRefBased/>
  <w15:docId w15:val="{D046C5A8-08AB-472C-87AB-80761D3C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36E"/>
  </w:style>
  <w:style w:type="paragraph" w:styleId="Heading1">
    <w:name w:val="heading 1"/>
    <w:basedOn w:val="Normal"/>
    <w:next w:val="Normal"/>
    <w:link w:val="Heading1Char"/>
    <w:uiPriority w:val="9"/>
    <w:qFormat/>
    <w:rsid w:val="00C7630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C7630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C7630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C7630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C7630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7630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7630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7630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7630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BB9"/>
    <w:pPr>
      <w:ind w:left="720"/>
      <w:contextualSpacing/>
    </w:pPr>
  </w:style>
  <w:style w:type="table" w:styleId="TableGrid">
    <w:name w:val="Table Grid"/>
    <w:basedOn w:val="TableNormal"/>
    <w:uiPriority w:val="39"/>
    <w:rsid w:val="00152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630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C7630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C7630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C7630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C7630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7630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7630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7630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7630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76307"/>
    <w:pPr>
      <w:spacing w:line="240" w:lineRule="auto"/>
    </w:pPr>
    <w:rPr>
      <w:b/>
      <w:bCs/>
      <w:smallCaps/>
      <w:color w:val="595959" w:themeColor="text1" w:themeTint="A6"/>
    </w:rPr>
  </w:style>
  <w:style w:type="paragraph" w:styleId="Title">
    <w:name w:val="Title"/>
    <w:basedOn w:val="Normal"/>
    <w:next w:val="Normal"/>
    <w:link w:val="TitleChar"/>
    <w:uiPriority w:val="10"/>
    <w:qFormat/>
    <w:rsid w:val="00C7630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7630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7630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76307"/>
    <w:rPr>
      <w:rFonts w:asciiTheme="majorHAnsi" w:eastAsiaTheme="majorEastAsia" w:hAnsiTheme="majorHAnsi" w:cstheme="majorBidi"/>
      <w:sz w:val="30"/>
      <w:szCs w:val="30"/>
    </w:rPr>
  </w:style>
  <w:style w:type="character" w:styleId="Strong">
    <w:name w:val="Strong"/>
    <w:basedOn w:val="DefaultParagraphFont"/>
    <w:uiPriority w:val="22"/>
    <w:qFormat/>
    <w:rsid w:val="00C76307"/>
    <w:rPr>
      <w:b/>
      <w:bCs/>
    </w:rPr>
  </w:style>
  <w:style w:type="character" w:styleId="Emphasis">
    <w:name w:val="Emphasis"/>
    <w:basedOn w:val="DefaultParagraphFont"/>
    <w:uiPriority w:val="20"/>
    <w:qFormat/>
    <w:rsid w:val="00C76307"/>
    <w:rPr>
      <w:i/>
      <w:iCs/>
      <w:color w:val="70AD47" w:themeColor="accent6"/>
    </w:rPr>
  </w:style>
  <w:style w:type="paragraph" w:styleId="NoSpacing">
    <w:name w:val="No Spacing"/>
    <w:uiPriority w:val="1"/>
    <w:qFormat/>
    <w:rsid w:val="00C76307"/>
    <w:pPr>
      <w:spacing w:after="0" w:line="240" w:lineRule="auto"/>
    </w:pPr>
  </w:style>
  <w:style w:type="paragraph" w:styleId="Quote">
    <w:name w:val="Quote"/>
    <w:basedOn w:val="Normal"/>
    <w:next w:val="Normal"/>
    <w:link w:val="QuoteChar"/>
    <w:uiPriority w:val="29"/>
    <w:qFormat/>
    <w:rsid w:val="00C7630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76307"/>
    <w:rPr>
      <w:i/>
      <w:iCs/>
      <w:color w:val="262626" w:themeColor="text1" w:themeTint="D9"/>
    </w:rPr>
  </w:style>
  <w:style w:type="paragraph" w:styleId="IntenseQuote">
    <w:name w:val="Intense Quote"/>
    <w:basedOn w:val="Normal"/>
    <w:next w:val="Normal"/>
    <w:link w:val="IntenseQuoteChar"/>
    <w:uiPriority w:val="30"/>
    <w:qFormat/>
    <w:rsid w:val="00C7630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7630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76307"/>
    <w:rPr>
      <w:i/>
      <w:iCs/>
    </w:rPr>
  </w:style>
  <w:style w:type="character" w:styleId="IntenseEmphasis">
    <w:name w:val="Intense Emphasis"/>
    <w:basedOn w:val="DefaultParagraphFont"/>
    <w:uiPriority w:val="21"/>
    <w:qFormat/>
    <w:rsid w:val="00C76307"/>
    <w:rPr>
      <w:b/>
      <w:bCs/>
      <w:i/>
      <w:iCs/>
    </w:rPr>
  </w:style>
  <w:style w:type="character" w:styleId="SubtleReference">
    <w:name w:val="Subtle Reference"/>
    <w:basedOn w:val="DefaultParagraphFont"/>
    <w:uiPriority w:val="31"/>
    <w:qFormat/>
    <w:rsid w:val="00C76307"/>
    <w:rPr>
      <w:smallCaps/>
      <w:color w:val="595959" w:themeColor="text1" w:themeTint="A6"/>
    </w:rPr>
  </w:style>
  <w:style w:type="character" w:styleId="IntenseReference">
    <w:name w:val="Intense Reference"/>
    <w:basedOn w:val="DefaultParagraphFont"/>
    <w:uiPriority w:val="32"/>
    <w:qFormat/>
    <w:rsid w:val="00C76307"/>
    <w:rPr>
      <w:b/>
      <w:bCs/>
      <w:smallCaps/>
      <w:color w:val="70AD47" w:themeColor="accent6"/>
    </w:rPr>
  </w:style>
  <w:style w:type="character" w:styleId="BookTitle">
    <w:name w:val="Book Title"/>
    <w:basedOn w:val="DefaultParagraphFont"/>
    <w:uiPriority w:val="33"/>
    <w:qFormat/>
    <w:rsid w:val="00C76307"/>
    <w:rPr>
      <w:b/>
      <w:bCs/>
      <w:caps w:val="0"/>
      <w:smallCaps/>
      <w:spacing w:val="7"/>
      <w:sz w:val="21"/>
      <w:szCs w:val="21"/>
    </w:rPr>
  </w:style>
  <w:style w:type="paragraph" w:styleId="TOCHeading">
    <w:name w:val="TOC Heading"/>
    <w:basedOn w:val="Heading1"/>
    <w:next w:val="Normal"/>
    <w:uiPriority w:val="39"/>
    <w:unhideWhenUsed/>
    <w:qFormat/>
    <w:rsid w:val="00C76307"/>
    <w:pPr>
      <w:outlineLvl w:val="9"/>
    </w:pPr>
  </w:style>
  <w:style w:type="character" w:styleId="PlaceholderText">
    <w:name w:val="Placeholder Text"/>
    <w:basedOn w:val="DefaultParagraphFont"/>
    <w:uiPriority w:val="99"/>
    <w:semiHidden/>
    <w:rsid w:val="003F45EF"/>
    <w:rPr>
      <w:color w:val="808080"/>
    </w:rPr>
  </w:style>
  <w:style w:type="character" w:styleId="Hyperlink">
    <w:name w:val="Hyperlink"/>
    <w:basedOn w:val="DefaultParagraphFont"/>
    <w:uiPriority w:val="99"/>
    <w:unhideWhenUsed/>
    <w:rsid w:val="005E6C2D"/>
    <w:rPr>
      <w:color w:val="0563C1" w:themeColor="hyperlink"/>
      <w:u w:val="single"/>
    </w:rPr>
  </w:style>
  <w:style w:type="character" w:styleId="UnresolvedMention">
    <w:name w:val="Unresolved Mention"/>
    <w:basedOn w:val="DefaultParagraphFont"/>
    <w:uiPriority w:val="99"/>
    <w:semiHidden/>
    <w:unhideWhenUsed/>
    <w:rsid w:val="005E6C2D"/>
    <w:rPr>
      <w:color w:val="605E5C"/>
      <w:shd w:val="clear" w:color="auto" w:fill="E1DFDD"/>
    </w:rPr>
  </w:style>
  <w:style w:type="paragraph" w:styleId="TOC1">
    <w:name w:val="toc 1"/>
    <w:basedOn w:val="Normal"/>
    <w:next w:val="Normal"/>
    <w:autoRedefine/>
    <w:uiPriority w:val="39"/>
    <w:unhideWhenUsed/>
    <w:rsid w:val="00761626"/>
    <w:pPr>
      <w:spacing w:after="100"/>
    </w:pPr>
  </w:style>
  <w:style w:type="paragraph" w:styleId="TOC2">
    <w:name w:val="toc 2"/>
    <w:basedOn w:val="Normal"/>
    <w:next w:val="Normal"/>
    <w:autoRedefine/>
    <w:uiPriority w:val="39"/>
    <w:unhideWhenUsed/>
    <w:rsid w:val="00761626"/>
    <w:pPr>
      <w:spacing w:after="100"/>
      <w:ind w:left="210"/>
    </w:pPr>
  </w:style>
  <w:style w:type="paragraph" w:styleId="TOC3">
    <w:name w:val="toc 3"/>
    <w:basedOn w:val="Normal"/>
    <w:next w:val="Normal"/>
    <w:autoRedefine/>
    <w:uiPriority w:val="39"/>
    <w:unhideWhenUsed/>
    <w:rsid w:val="00761626"/>
    <w:pPr>
      <w:spacing w:after="100"/>
      <w:ind w:left="420"/>
    </w:pPr>
  </w:style>
  <w:style w:type="paragraph" w:styleId="FootnoteText">
    <w:name w:val="footnote text"/>
    <w:basedOn w:val="Normal"/>
    <w:link w:val="FootnoteTextChar"/>
    <w:uiPriority w:val="99"/>
    <w:semiHidden/>
    <w:unhideWhenUsed/>
    <w:rsid w:val="000234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34F1"/>
    <w:rPr>
      <w:sz w:val="20"/>
      <w:szCs w:val="20"/>
    </w:rPr>
  </w:style>
  <w:style w:type="character" w:styleId="FootnoteReference">
    <w:name w:val="footnote reference"/>
    <w:basedOn w:val="DefaultParagraphFont"/>
    <w:uiPriority w:val="99"/>
    <w:semiHidden/>
    <w:unhideWhenUsed/>
    <w:rsid w:val="000234F1"/>
    <w:rPr>
      <w:vertAlign w:val="superscript"/>
    </w:rPr>
  </w:style>
  <w:style w:type="paragraph" w:styleId="Bibliography">
    <w:name w:val="Bibliography"/>
    <w:basedOn w:val="Normal"/>
    <w:next w:val="Normal"/>
    <w:uiPriority w:val="37"/>
    <w:unhideWhenUsed/>
    <w:rsid w:val="00193B83"/>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2F5A9C"/>
    <w:rPr>
      <w:color w:val="954F72" w:themeColor="followedHyperlink"/>
      <w:u w:val="single"/>
    </w:rPr>
  </w:style>
  <w:style w:type="paragraph" w:styleId="Revision">
    <w:name w:val="Revision"/>
    <w:hidden/>
    <w:uiPriority w:val="99"/>
    <w:semiHidden/>
    <w:rsid w:val="005B636F"/>
    <w:pPr>
      <w:spacing w:after="0" w:line="240" w:lineRule="auto"/>
    </w:pPr>
  </w:style>
  <w:style w:type="character" w:styleId="CommentReference">
    <w:name w:val="annotation reference"/>
    <w:basedOn w:val="DefaultParagraphFont"/>
    <w:uiPriority w:val="99"/>
    <w:semiHidden/>
    <w:unhideWhenUsed/>
    <w:rsid w:val="005B636F"/>
    <w:rPr>
      <w:sz w:val="16"/>
      <w:szCs w:val="16"/>
    </w:rPr>
  </w:style>
  <w:style w:type="paragraph" w:styleId="CommentText">
    <w:name w:val="annotation text"/>
    <w:basedOn w:val="Normal"/>
    <w:link w:val="CommentTextChar"/>
    <w:uiPriority w:val="99"/>
    <w:unhideWhenUsed/>
    <w:rsid w:val="005B636F"/>
    <w:pPr>
      <w:spacing w:line="240" w:lineRule="auto"/>
    </w:pPr>
    <w:rPr>
      <w:sz w:val="20"/>
      <w:szCs w:val="20"/>
    </w:rPr>
  </w:style>
  <w:style w:type="character" w:customStyle="1" w:styleId="CommentTextChar">
    <w:name w:val="Comment Text Char"/>
    <w:basedOn w:val="DefaultParagraphFont"/>
    <w:link w:val="CommentText"/>
    <w:uiPriority w:val="99"/>
    <w:rsid w:val="005B636F"/>
    <w:rPr>
      <w:sz w:val="20"/>
      <w:szCs w:val="20"/>
    </w:rPr>
  </w:style>
  <w:style w:type="paragraph" w:styleId="CommentSubject">
    <w:name w:val="annotation subject"/>
    <w:basedOn w:val="CommentText"/>
    <w:next w:val="CommentText"/>
    <w:link w:val="CommentSubjectChar"/>
    <w:uiPriority w:val="99"/>
    <w:semiHidden/>
    <w:unhideWhenUsed/>
    <w:rsid w:val="005B636F"/>
    <w:rPr>
      <w:b/>
      <w:bCs/>
    </w:rPr>
  </w:style>
  <w:style w:type="character" w:customStyle="1" w:styleId="CommentSubjectChar">
    <w:name w:val="Comment Subject Char"/>
    <w:basedOn w:val="CommentTextChar"/>
    <w:link w:val="CommentSubject"/>
    <w:uiPriority w:val="99"/>
    <w:semiHidden/>
    <w:rsid w:val="005B636F"/>
    <w:rPr>
      <w:b/>
      <w:bCs/>
      <w:sz w:val="20"/>
      <w:szCs w:val="20"/>
    </w:rPr>
  </w:style>
  <w:style w:type="paragraph" w:customStyle="1" w:styleId="pf0">
    <w:name w:val="pf0"/>
    <w:basedOn w:val="Normal"/>
    <w:rsid w:val="00B509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B509D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9707">
      <w:bodyDiv w:val="1"/>
      <w:marLeft w:val="0"/>
      <w:marRight w:val="0"/>
      <w:marTop w:val="0"/>
      <w:marBottom w:val="0"/>
      <w:divBdr>
        <w:top w:val="none" w:sz="0" w:space="0" w:color="auto"/>
        <w:left w:val="none" w:sz="0" w:space="0" w:color="auto"/>
        <w:bottom w:val="none" w:sz="0" w:space="0" w:color="auto"/>
        <w:right w:val="none" w:sz="0" w:space="0" w:color="auto"/>
      </w:divBdr>
    </w:div>
    <w:div w:id="114108690">
      <w:bodyDiv w:val="1"/>
      <w:marLeft w:val="0"/>
      <w:marRight w:val="0"/>
      <w:marTop w:val="0"/>
      <w:marBottom w:val="0"/>
      <w:divBdr>
        <w:top w:val="none" w:sz="0" w:space="0" w:color="auto"/>
        <w:left w:val="none" w:sz="0" w:space="0" w:color="auto"/>
        <w:bottom w:val="none" w:sz="0" w:space="0" w:color="auto"/>
        <w:right w:val="none" w:sz="0" w:space="0" w:color="auto"/>
      </w:divBdr>
    </w:div>
    <w:div w:id="133910182">
      <w:bodyDiv w:val="1"/>
      <w:marLeft w:val="0"/>
      <w:marRight w:val="0"/>
      <w:marTop w:val="0"/>
      <w:marBottom w:val="0"/>
      <w:divBdr>
        <w:top w:val="none" w:sz="0" w:space="0" w:color="auto"/>
        <w:left w:val="none" w:sz="0" w:space="0" w:color="auto"/>
        <w:bottom w:val="none" w:sz="0" w:space="0" w:color="auto"/>
        <w:right w:val="none" w:sz="0" w:space="0" w:color="auto"/>
      </w:divBdr>
    </w:div>
    <w:div w:id="482551546">
      <w:bodyDiv w:val="1"/>
      <w:marLeft w:val="0"/>
      <w:marRight w:val="0"/>
      <w:marTop w:val="0"/>
      <w:marBottom w:val="0"/>
      <w:divBdr>
        <w:top w:val="none" w:sz="0" w:space="0" w:color="auto"/>
        <w:left w:val="none" w:sz="0" w:space="0" w:color="auto"/>
        <w:bottom w:val="none" w:sz="0" w:space="0" w:color="auto"/>
        <w:right w:val="none" w:sz="0" w:space="0" w:color="auto"/>
      </w:divBdr>
    </w:div>
    <w:div w:id="538587978">
      <w:bodyDiv w:val="1"/>
      <w:marLeft w:val="0"/>
      <w:marRight w:val="0"/>
      <w:marTop w:val="0"/>
      <w:marBottom w:val="0"/>
      <w:divBdr>
        <w:top w:val="none" w:sz="0" w:space="0" w:color="auto"/>
        <w:left w:val="none" w:sz="0" w:space="0" w:color="auto"/>
        <w:bottom w:val="none" w:sz="0" w:space="0" w:color="auto"/>
        <w:right w:val="none" w:sz="0" w:space="0" w:color="auto"/>
      </w:divBdr>
    </w:div>
    <w:div w:id="570774106">
      <w:bodyDiv w:val="1"/>
      <w:marLeft w:val="0"/>
      <w:marRight w:val="0"/>
      <w:marTop w:val="0"/>
      <w:marBottom w:val="0"/>
      <w:divBdr>
        <w:top w:val="none" w:sz="0" w:space="0" w:color="auto"/>
        <w:left w:val="none" w:sz="0" w:space="0" w:color="auto"/>
        <w:bottom w:val="none" w:sz="0" w:space="0" w:color="auto"/>
        <w:right w:val="none" w:sz="0" w:space="0" w:color="auto"/>
      </w:divBdr>
    </w:div>
    <w:div w:id="657152235">
      <w:bodyDiv w:val="1"/>
      <w:marLeft w:val="0"/>
      <w:marRight w:val="0"/>
      <w:marTop w:val="0"/>
      <w:marBottom w:val="0"/>
      <w:divBdr>
        <w:top w:val="none" w:sz="0" w:space="0" w:color="auto"/>
        <w:left w:val="none" w:sz="0" w:space="0" w:color="auto"/>
        <w:bottom w:val="none" w:sz="0" w:space="0" w:color="auto"/>
        <w:right w:val="none" w:sz="0" w:space="0" w:color="auto"/>
      </w:divBdr>
    </w:div>
    <w:div w:id="704447416">
      <w:bodyDiv w:val="1"/>
      <w:marLeft w:val="0"/>
      <w:marRight w:val="0"/>
      <w:marTop w:val="0"/>
      <w:marBottom w:val="0"/>
      <w:divBdr>
        <w:top w:val="none" w:sz="0" w:space="0" w:color="auto"/>
        <w:left w:val="none" w:sz="0" w:space="0" w:color="auto"/>
        <w:bottom w:val="none" w:sz="0" w:space="0" w:color="auto"/>
        <w:right w:val="none" w:sz="0" w:space="0" w:color="auto"/>
      </w:divBdr>
    </w:div>
    <w:div w:id="764346411">
      <w:bodyDiv w:val="1"/>
      <w:marLeft w:val="0"/>
      <w:marRight w:val="0"/>
      <w:marTop w:val="0"/>
      <w:marBottom w:val="0"/>
      <w:divBdr>
        <w:top w:val="none" w:sz="0" w:space="0" w:color="auto"/>
        <w:left w:val="none" w:sz="0" w:space="0" w:color="auto"/>
        <w:bottom w:val="none" w:sz="0" w:space="0" w:color="auto"/>
        <w:right w:val="none" w:sz="0" w:space="0" w:color="auto"/>
      </w:divBdr>
      <w:divsChild>
        <w:div w:id="868757268">
          <w:marLeft w:val="0"/>
          <w:marRight w:val="0"/>
          <w:marTop w:val="0"/>
          <w:marBottom w:val="0"/>
          <w:divBdr>
            <w:top w:val="none" w:sz="0" w:space="0" w:color="auto"/>
            <w:left w:val="none" w:sz="0" w:space="0" w:color="auto"/>
            <w:bottom w:val="none" w:sz="0" w:space="0" w:color="auto"/>
            <w:right w:val="none" w:sz="0" w:space="0" w:color="auto"/>
          </w:divBdr>
          <w:divsChild>
            <w:div w:id="15247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9274">
      <w:bodyDiv w:val="1"/>
      <w:marLeft w:val="0"/>
      <w:marRight w:val="0"/>
      <w:marTop w:val="0"/>
      <w:marBottom w:val="0"/>
      <w:divBdr>
        <w:top w:val="none" w:sz="0" w:space="0" w:color="auto"/>
        <w:left w:val="none" w:sz="0" w:space="0" w:color="auto"/>
        <w:bottom w:val="none" w:sz="0" w:space="0" w:color="auto"/>
        <w:right w:val="none" w:sz="0" w:space="0" w:color="auto"/>
      </w:divBdr>
      <w:divsChild>
        <w:div w:id="1500119575">
          <w:marLeft w:val="360"/>
          <w:marRight w:val="0"/>
          <w:marTop w:val="200"/>
          <w:marBottom w:val="0"/>
          <w:divBdr>
            <w:top w:val="none" w:sz="0" w:space="0" w:color="auto"/>
            <w:left w:val="none" w:sz="0" w:space="0" w:color="auto"/>
            <w:bottom w:val="none" w:sz="0" w:space="0" w:color="auto"/>
            <w:right w:val="none" w:sz="0" w:space="0" w:color="auto"/>
          </w:divBdr>
        </w:div>
      </w:divsChild>
    </w:div>
    <w:div w:id="838350770">
      <w:bodyDiv w:val="1"/>
      <w:marLeft w:val="0"/>
      <w:marRight w:val="0"/>
      <w:marTop w:val="0"/>
      <w:marBottom w:val="0"/>
      <w:divBdr>
        <w:top w:val="none" w:sz="0" w:space="0" w:color="auto"/>
        <w:left w:val="none" w:sz="0" w:space="0" w:color="auto"/>
        <w:bottom w:val="none" w:sz="0" w:space="0" w:color="auto"/>
        <w:right w:val="none" w:sz="0" w:space="0" w:color="auto"/>
      </w:divBdr>
    </w:div>
    <w:div w:id="869496011">
      <w:bodyDiv w:val="1"/>
      <w:marLeft w:val="0"/>
      <w:marRight w:val="0"/>
      <w:marTop w:val="0"/>
      <w:marBottom w:val="0"/>
      <w:divBdr>
        <w:top w:val="none" w:sz="0" w:space="0" w:color="auto"/>
        <w:left w:val="none" w:sz="0" w:space="0" w:color="auto"/>
        <w:bottom w:val="none" w:sz="0" w:space="0" w:color="auto"/>
        <w:right w:val="none" w:sz="0" w:space="0" w:color="auto"/>
      </w:divBdr>
      <w:divsChild>
        <w:div w:id="1301229168">
          <w:marLeft w:val="360"/>
          <w:marRight w:val="0"/>
          <w:marTop w:val="200"/>
          <w:marBottom w:val="0"/>
          <w:divBdr>
            <w:top w:val="none" w:sz="0" w:space="0" w:color="auto"/>
            <w:left w:val="none" w:sz="0" w:space="0" w:color="auto"/>
            <w:bottom w:val="none" w:sz="0" w:space="0" w:color="auto"/>
            <w:right w:val="none" w:sz="0" w:space="0" w:color="auto"/>
          </w:divBdr>
        </w:div>
        <w:div w:id="326399293">
          <w:marLeft w:val="360"/>
          <w:marRight w:val="0"/>
          <w:marTop w:val="200"/>
          <w:marBottom w:val="0"/>
          <w:divBdr>
            <w:top w:val="none" w:sz="0" w:space="0" w:color="auto"/>
            <w:left w:val="none" w:sz="0" w:space="0" w:color="auto"/>
            <w:bottom w:val="none" w:sz="0" w:space="0" w:color="auto"/>
            <w:right w:val="none" w:sz="0" w:space="0" w:color="auto"/>
          </w:divBdr>
        </w:div>
        <w:div w:id="1592228929">
          <w:marLeft w:val="360"/>
          <w:marRight w:val="0"/>
          <w:marTop w:val="200"/>
          <w:marBottom w:val="0"/>
          <w:divBdr>
            <w:top w:val="none" w:sz="0" w:space="0" w:color="auto"/>
            <w:left w:val="none" w:sz="0" w:space="0" w:color="auto"/>
            <w:bottom w:val="none" w:sz="0" w:space="0" w:color="auto"/>
            <w:right w:val="none" w:sz="0" w:space="0" w:color="auto"/>
          </w:divBdr>
        </w:div>
        <w:div w:id="714504021">
          <w:marLeft w:val="360"/>
          <w:marRight w:val="0"/>
          <w:marTop w:val="200"/>
          <w:marBottom w:val="0"/>
          <w:divBdr>
            <w:top w:val="none" w:sz="0" w:space="0" w:color="auto"/>
            <w:left w:val="none" w:sz="0" w:space="0" w:color="auto"/>
            <w:bottom w:val="none" w:sz="0" w:space="0" w:color="auto"/>
            <w:right w:val="none" w:sz="0" w:space="0" w:color="auto"/>
          </w:divBdr>
        </w:div>
      </w:divsChild>
    </w:div>
    <w:div w:id="982661122">
      <w:bodyDiv w:val="1"/>
      <w:marLeft w:val="0"/>
      <w:marRight w:val="0"/>
      <w:marTop w:val="0"/>
      <w:marBottom w:val="0"/>
      <w:divBdr>
        <w:top w:val="none" w:sz="0" w:space="0" w:color="auto"/>
        <w:left w:val="none" w:sz="0" w:space="0" w:color="auto"/>
        <w:bottom w:val="none" w:sz="0" w:space="0" w:color="auto"/>
        <w:right w:val="none" w:sz="0" w:space="0" w:color="auto"/>
      </w:divBdr>
    </w:div>
    <w:div w:id="996420346">
      <w:bodyDiv w:val="1"/>
      <w:marLeft w:val="0"/>
      <w:marRight w:val="0"/>
      <w:marTop w:val="0"/>
      <w:marBottom w:val="0"/>
      <w:divBdr>
        <w:top w:val="none" w:sz="0" w:space="0" w:color="auto"/>
        <w:left w:val="none" w:sz="0" w:space="0" w:color="auto"/>
        <w:bottom w:val="none" w:sz="0" w:space="0" w:color="auto"/>
        <w:right w:val="none" w:sz="0" w:space="0" w:color="auto"/>
      </w:divBdr>
    </w:div>
    <w:div w:id="998114365">
      <w:bodyDiv w:val="1"/>
      <w:marLeft w:val="0"/>
      <w:marRight w:val="0"/>
      <w:marTop w:val="0"/>
      <w:marBottom w:val="0"/>
      <w:divBdr>
        <w:top w:val="none" w:sz="0" w:space="0" w:color="auto"/>
        <w:left w:val="none" w:sz="0" w:space="0" w:color="auto"/>
        <w:bottom w:val="none" w:sz="0" w:space="0" w:color="auto"/>
        <w:right w:val="none" w:sz="0" w:space="0" w:color="auto"/>
      </w:divBdr>
    </w:div>
    <w:div w:id="1084491464">
      <w:bodyDiv w:val="1"/>
      <w:marLeft w:val="0"/>
      <w:marRight w:val="0"/>
      <w:marTop w:val="0"/>
      <w:marBottom w:val="0"/>
      <w:divBdr>
        <w:top w:val="none" w:sz="0" w:space="0" w:color="auto"/>
        <w:left w:val="none" w:sz="0" w:space="0" w:color="auto"/>
        <w:bottom w:val="none" w:sz="0" w:space="0" w:color="auto"/>
        <w:right w:val="none" w:sz="0" w:space="0" w:color="auto"/>
      </w:divBdr>
    </w:div>
    <w:div w:id="1132669556">
      <w:bodyDiv w:val="1"/>
      <w:marLeft w:val="0"/>
      <w:marRight w:val="0"/>
      <w:marTop w:val="0"/>
      <w:marBottom w:val="0"/>
      <w:divBdr>
        <w:top w:val="none" w:sz="0" w:space="0" w:color="auto"/>
        <w:left w:val="none" w:sz="0" w:space="0" w:color="auto"/>
        <w:bottom w:val="none" w:sz="0" w:space="0" w:color="auto"/>
        <w:right w:val="none" w:sz="0" w:space="0" w:color="auto"/>
      </w:divBdr>
    </w:div>
    <w:div w:id="1304314046">
      <w:bodyDiv w:val="1"/>
      <w:marLeft w:val="0"/>
      <w:marRight w:val="0"/>
      <w:marTop w:val="0"/>
      <w:marBottom w:val="0"/>
      <w:divBdr>
        <w:top w:val="none" w:sz="0" w:space="0" w:color="auto"/>
        <w:left w:val="none" w:sz="0" w:space="0" w:color="auto"/>
        <w:bottom w:val="none" w:sz="0" w:space="0" w:color="auto"/>
        <w:right w:val="none" w:sz="0" w:space="0" w:color="auto"/>
      </w:divBdr>
    </w:div>
    <w:div w:id="1500926133">
      <w:bodyDiv w:val="1"/>
      <w:marLeft w:val="0"/>
      <w:marRight w:val="0"/>
      <w:marTop w:val="0"/>
      <w:marBottom w:val="0"/>
      <w:divBdr>
        <w:top w:val="none" w:sz="0" w:space="0" w:color="auto"/>
        <w:left w:val="none" w:sz="0" w:space="0" w:color="auto"/>
        <w:bottom w:val="none" w:sz="0" w:space="0" w:color="auto"/>
        <w:right w:val="none" w:sz="0" w:space="0" w:color="auto"/>
      </w:divBdr>
      <w:divsChild>
        <w:div w:id="675574798">
          <w:marLeft w:val="360"/>
          <w:marRight w:val="0"/>
          <w:marTop w:val="200"/>
          <w:marBottom w:val="0"/>
          <w:divBdr>
            <w:top w:val="none" w:sz="0" w:space="0" w:color="auto"/>
            <w:left w:val="none" w:sz="0" w:space="0" w:color="auto"/>
            <w:bottom w:val="none" w:sz="0" w:space="0" w:color="auto"/>
            <w:right w:val="none" w:sz="0" w:space="0" w:color="auto"/>
          </w:divBdr>
        </w:div>
      </w:divsChild>
    </w:div>
    <w:div w:id="1659965006">
      <w:bodyDiv w:val="1"/>
      <w:marLeft w:val="0"/>
      <w:marRight w:val="0"/>
      <w:marTop w:val="0"/>
      <w:marBottom w:val="0"/>
      <w:divBdr>
        <w:top w:val="none" w:sz="0" w:space="0" w:color="auto"/>
        <w:left w:val="none" w:sz="0" w:space="0" w:color="auto"/>
        <w:bottom w:val="none" w:sz="0" w:space="0" w:color="auto"/>
        <w:right w:val="none" w:sz="0" w:space="0" w:color="auto"/>
      </w:divBdr>
    </w:div>
    <w:div w:id="1823109970">
      <w:bodyDiv w:val="1"/>
      <w:marLeft w:val="0"/>
      <w:marRight w:val="0"/>
      <w:marTop w:val="0"/>
      <w:marBottom w:val="0"/>
      <w:divBdr>
        <w:top w:val="none" w:sz="0" w:space="0" w:color="auto"/>
        <w:left w:val="none" w:sz="0" w:space="0" w:color="auto"/>
        <w:bottom w:val="none" w:sz="0" w:space="0" w:color="auto"/>
        <w:right w:val="none" w:sz="0" w:space="0" w:color="auto"/>
      </w:divBdr>
    </w:div>
    <w:div w:id="1928541025">
      <w:bodyDiv w:val="1"/>
      <w:marLeft w:val="0"/>
      <w:marRight w:val="0"/>
      <w:marTop w:val="0"/>
      <w:marBottom w:val="0"/>
      <w:divBdr>
        <w:top w:val="none" w:sz="0" w:space="0" w:color="auto"/>
        <w:left w:val="none" w:sz="0" w:space="0" w:color="auto"/>
        <w:bottom w:val="none" w:sz="0" w:space="0" w:color="auto"/>
        <w:right w:val="none" w:sz="0" w:space="0" w:color="auto"/>
      </w:divBdr>
    </w:div>
    <w:div w:id="210298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jgcri.github.io/gcam-doc/inputs_supply.html" TargetMode="External"/><Relationship Id="rId7" Type="http://schemas.openxmlformats.org/officeDocument/2006/relationships/endnotes" Target="endnotes.xml"/><Relationship Id="rId12" Type="http://schemas.openxmlformats.org/officeDocument/2006/relationships/hyperlink" Target="https://jgcri.github.io/GCAMUSAJobs/articles/package_vignette.html" TargetMode="External"/><Relationship Id="rId17" Type="http://schemas.openxmlformats.org/officeDocument/2006/relationships/hyperlink" Target="https://www.nrel.gov/analysis/jedi/models.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JGCRI/GCAMUSAJobs/blob/paper/docs/tutorials/vintage.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GCRI/rgca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jgcri.github.io/gcam-doc/gcam-usa.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nrel.gov/analysis/jedi/models.htm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08C6E-FF14-448E-9CC5-69515062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5829</Words>
  <Characters>35266</Characters>
  <Application>Microsoft Office Word</Application>
  <DocSecurity>0</DocSecurity>
  <Lines>559</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Di</dc:creator>
  <cp:keywords/>
  <dc:description/>
  <cp:lastModifiedBy>Sheng, Di</cp:lastModifiedBy>
  <cp:revision>17</cp:revision>
  <dcterms:created xsi:type="dcterms:W3CDTF">2024-09-27T20:01:00Z</dcterms:created>
  <dcterms:modified xsi:type="dcterms:W3CDTF">2024-09-27T21:17:00Z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396c9800-ff40-47fe-9b8e-78a7c2c9e0fc</vt:lpwstr>
  </property>
  <property fmtid="{D5CDD505-2E9C-101B-9397-08002B2CF9AE}" pid="3" name="ZOTERO_PREF_1">
    <vt:lpwstr>&lt;data data-version="3" zotero-version="6.0.36"&gt;&lt;session id="pl13jNG4"/&gt;&lt;style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value="true"/&gt;&lt;/prefs&gt;&lt;/data&gt;</vt:lpwstr>
  </property>
</Properties>
</file>