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E92A" w14:textId="300DE00C" w:rsidR="00386947" w:rsidRDefault="005001FA" w:rsidP="006D4D1D">
      <w:pPr>
        <w:pStyle w:val="Heading1"/>
      </w:pPr>
      <w:r>
        <w:t>Transportation Shareweights</w:t>
      </w:r>
    </w:p>
    <w:p w14:paraId="1F58EE4C" w14:textId="37A39C07" w:rsidR="005001FA" w:rsidRPr="005001FA" w:rsidRDefault="005001FA" w:rsidP="006D4D1D">
      <w:pPr>
        <w:pStyle w:val="Heading2"/>
      </w:pPr>
      <w:r>
        <w:t>Files</w:t>
      </w:r>
    </w:p>
    <w:p w14:paraId="5D24D65E" w14:textId="2D65AB53" w:rsidR="005001FA" w:rsidRDefault="005001FA" w:rsidP="005001FA">
      <w:pPr>
        <w:pStyle w:val="ListParagraph"/>
        <w:numPr>
          <w:ilvl w:val="0"/>
          <w:numId w:val="1"/>
        </w:numPr>
      </w:pPr>
      <w:r>
        <w:t xml:space="preserve">Reference shareweights: </w:t>
      </w:r>
      <w:r w:rsidRPr="00741D22">
        <w:rPr>
          <w:highlight w:val="lightGray"/>
        </w:rPr>
        <w:t>subsector_shareweights_ref.csv</w:t>
      </w:r>
    </w:p>
    <w:p w14:paraId="306A4D6B" w14:textId="02006B36" w:rsidR="005001FA" w:rsidRDefault="005001FA" w:rsidP="005001FA">
      <w:pPr>
        <w:pStyle w:val="ListParagraph"/>
        <w:numPr>
          <w:ilvl w:val="1"/>
          <w:numId w:val="1"/>
        </w:numPr>
      </w:pPr>
      <w:r>
        <w:t>From Model Interface reference run</w:t>
      </w:r>
    </w:p>
    <w:p w14:paraId="651D9AA8" w14:textId="114FA987" w:rsidR="005B2C75" w:rsidRDefault="005B2C75" w:rsidP="005B2C75">
      <w:pPr>
        <w:pStyle w:val="ListParagraph"/>
        <w:numPr>
          <w:ilvl w:val="0"/>
          <w:numId w:val="1"/>
        </w:numPr>
      </w:pPr>
      <w:r>
        <w:t xml:space="preserve">Default XML: </w:t>
      </w:r>
      <w:r w:rsidRPr="00145F63">
        <w:rPr>
          <w:highlight w:val="lightGray"/>
        </w:rPr>
        <w:t>transportation_Subregions_Thailand</w:t>
      </w:r>
      <w:r w:rsidRPr="00145F63">
        <w:rPr>
          <w:highlight w:val="lightGray"/>
        </w:rPr>
        <w:t>.xml</w:t>
      </w:r>
    </w:p>
    <w:p w14:paraId="0398BB34" w14:textId="456C9761" w:rsidR="005001FA" w:rsidRDefault="005001FA" w:rsidP="005001FA">
      <w:pPr>
        <w:pStyle w:val="ListParagraph"/>
        <w:numPr>
          <w:ilvl w:val="0"/>
          <w:numId w:val="1"/>
        </w:numPr>
      </w:pPr>
      <w:r>
        <w:t>Add-on XML</w:t>
      </w:r>
      <w:r w:rsidR="00933FB0">
        <w:t xml:space="preserve"> 1</w:t>
      </w:r>
      <w:r>
        <w:t xml:space="preserve">: </w:t>
      </w:r>
      <w:r w:rsidRPr="00741D22">
        <w:rPr>
          <w:highlight w:val="lightGray"/>
        </w:rPr>
        <w:t>freight_rail_00</w:t>
      </w:r>
      <w:r w:rsidR="009E66A4" w:rsidRPr="00741D22">
        <w:rPr>
          <w:highlight w:val="lightGray"/>
        </w:rPr>
        <w:t>3</w:t>
      </w:r>
      <w:r w:rsidRPr="00741D22">
        <w:rPr>
          <w:highlight w:val="lightGray"/>
        </w:rPr>
        <w:t>4_2040_lin.xml</w:t>
      </w:r>
    </w:p>
    <w:p w14:paraId="510E1CE0" w14:textId="450ACE8B" w:rsidR="005001FA" w:rsidRDefault="005001FA" w:rsidP="005001FA">
      <w:pPr>
        <w:pStyle w:val="ListParagraph"/>
        <w:numPr>
          <w:ilvl w:val="1"/>
          <w:numId w:val="1"/>
        </w:numPr>
      </w:pPr>
      <w:r>
        <w:t>Linear interpolation from default 2015 value to 0.004 in 2040 for freight rail</w:t>
      </w:r>
    </w:p>
    <w:p w14:paraId="4AA27786" w14:textId="5CE24662" w:rsidR="00933FB0" w:rsidRDefault="00933FB0" w:rsidP="00933FB0">
      <w:pPr>
        <w:pStyle w:val="ListParagraph"/>
        <w:numPr>
          <w:ilvl w:val="0"/>
          <w:numId w:val="1"/>
        </w:numPr>
      </w:pPr>
      <w:r>
        <w:t xml:space="preserve">Add-on XML 2: </w:t>
      </w:r>
      <w:r w:rsidRPr="00741D22">
        <w:rPr>
          <w:highlight w:val="lightGray"/>
        </w:rPr>
        <w:t>freight_road_5</w:t>
      </w:r>
      <w:r w:rsidR="009E66A4" w:rsidRPr="00741D22">
        <w:rPr>
          <w:highlight w:val="lightGray"/>
        </w:rPr>
        <w:t>5</w:t>
      </w:r>
      <w:r w:rsidRPr="00741D22">
        <w:rPr>
          <w:highlight w:val="lightGray"/>
        </w:rPr>
        <w:t>_2040_lin.xml</w:t>
      </w:r>
    </w:p>
    <w:p w14:paraId="558A1CF2" w14:textId="18C08662" w:rsidR="00933FB0" w:rsidRDefault="00933FB0" w:rsidP="00933FB0">
      <w:pPr>
        <w:pStyle w:val="ListParagraph"/>
        <w:numPr>
          <w:ilvl w:val="1"/>
          <w:numId w:val="1"/>
        </w:numPr>
      </w:pPr>
      <w:r>
        <w:t>Linear interpolation from default 2015 value (1) to 0.5 for freight road</w:t>
      </w:r>
    </w:p>
    <w:p w14:paraId="2CF0132D" w14:textId="66A2CB62" w:rsidR="00933FB0" w:rsidRDefault="00933FB0" w:rsidP="00933FB0">
      <w:pPr>
        <w:pStyle w:val="ListParagraph"/>
        <w:numPr>
          <w:ilvl w:val="0"/>
          <w:numId w:val="1"/>
        </w:numPr>
      </w:pPr>
      <w:r>
        <w:t xml:space="preserve">Batch file: </w:t>
      </w:r>
      <w:r w:rsidR="00D174D8" w:rsidRPr="00145F63">
        <w:rPr>
          <w:highlight w:val="lightGray"/>
        </w:rPr>
        <w:t>batch.xml</w:t>
      </w:r>
    </w:p>
    <w:p w14:paraId="2DA2C3EA" w14:textId="5832415E" w:rsidR="005001FA" w:rsidRDefault="00933FB0" w:rsidP="006D4D1D">
      <w:pPr>
        <w:pStyle w:val="Heading2"/>
      </w:pPr>
      <w:r>
        <w:t>Goal</w:t>
      </w:r>
    </w:p>
    <w:p w14:paraId="252FCE6C" w14:textId="60193863" w:rsidR="00933FB0" w:rsidRDefault="00933FB0" w:rsidP="005001FA">
      <w:r>
        <w:t>We are trying</w:t>
      </w:r>
      <w:r w:rsidR="005001FA">
        <w:t xml:space="preserve"> to</w:t>
      </w:r>
      <w:r>
        <w:t xml:space="preserve"> match Thailand’s 2040 goals by</w:t>
      </w:r>
      <w:r w:rsidR="005001FA">
        <w:t xml:space="preserve"> </w:t>
      </w:r>
      <w:r>
        <w:t>decreasing freight service output by road and increasing freight service output by domestic ship and rail. In 2040, Thailand’s goal is for ship to account for 19% of freight service output and for rail to account for 10%.</w:t>
      </w:r>
    </w:p>
    <w:p w14:paraId="4DADC326" w14:textId="67D2777B" w:rsidR="00933FB0" w:rsidRDefault="00933FB0" w:rsidP="006D4D1D">
      <w:pPr>
        <w:pStyle w:val="Heading2"/>
      </w:pPr>
      <w:r>
        <w:t>Approach</w:t>
      </w:r>
    </w:p>
    <w:p w14:paraId="63D005ED" w14:textId="594DBDBB" w:rsidR="005001FA" w:rsidRDefault="00933FB0" w:rsidP="005001FA">
      <w:r>
        <w:t xml:space="preserve">To do this, we will gradually decrease the shareweight for road through 2040 </w:t>
      </w:r>
      <w:proofErr w:type="gramStart"/>
      <w:r>
        <w:t>and also</w:t>
      </w:r>
      <w:proofErr w:type="gramEnd"/>
      <w:r>
        <w:t xml:space="preserve"> gradually increase the rail shareweight (only decreasing the road shareweight results in a ratio of ship to rail that is too high). From the reference shareweights file, we see that within the </w:t>
      </w:r>
      <w:r w:rsidRPr="00741D22">
        <w:rPr>
          <w:rFonts w:ascii="Courier New" w:hAnsi="Courier New" w:cs="Courier New"/>
        </w:rPr>
        <w:t>trn_freight</w:t>
      </w:r>
      <w:r>
        <w:t xml:space="preserve"> sector, the </w:t>
      </w:r>
      <w:r w:rsidRPr="00741D22">
        <w:rPr>
          <w:rFonts w:ascii="Courier New" w:hAnsi="Courier New" w:cs="Courier New"/>
        </w:rPr>
        <w:t>road</w:t>
      </w:r>
      <w:r>
        <w:t xml:space="preserve"> subsector has a shareweight of 1 throughout all periods and the</w:t>
      </w:r>
      <w:r w:rsidRPr="00741D22">
        <w:rPr>
          <w:rFonts w:ascii="Courier New" w:hAnsi="Courier New" w:cs="Courier New"/>
        </w:rPr>
        <w:t xml:space="preserve"> Freight Rail</w:t>
      </w:r>
      <w:r>
        <w:t xml:space="preserve"> subsector has a shareweight of 0.001342 throughout all periods</w:t>
      </w:r>
      <w:r w:rsidR="009E66A4">
        <w:t xml:space="preserve">. Through experimentation, we’ve found that linearly increasing/decreasing shareweights to the following values in 2040 produces the desired outcome: </w:t>
      </w:r>
    </w:p>
    <w:p w14:paraId="16749BCF" w14:textId="2413EE7E" w:rsidR="009E66A4" w:rsidRDefault="009E66A4" w:rsidP="009E66A4">
      <w:pPr>
        <w:pStyle w:val="ListParagraph"/>
        <w:numPr>
          <w:ilvl w:val="0"/>
          <w:numId w:val="2"/>
        </w:numPr>
      </w:pPr>
      <w:r>
        <w:t>road: 0.55</w:t>
      </w:r>
    </w:p>
    <w:p w14:paraId="2BB10D6C" w14:textId="62A38C16" w:rsidR="009E66A4" w:rsidRDefault="009E66A4" w:rsidP="009E66A4">
      <w:pPr>
        <w:pStyle w:val="ListParagraph"/>
        <w:numPr>
          <w:ilvl w:val="0"/>
          <w:numId w:val="2"/>
        </w:numPr>
      </w:pPr>
      <w:r>
        <w:t>Freight Rail: 0.0034</w:t>
      </w:r>
    </w:p>
    <w:p w14:paraId="37420CD9" w14:textId="6BA11C55" w:rsidR="009E66A4" w:rsidRDefault="005B2C75" w:rsidP="006D4D1D">
      <w:pPr>
        <w:pStyle w:val="Heading2"/>
      </w:pPr>
      <w:r>
        <w:t xml:space="preserve">GCAM </w:t>
      </w:r>
      <w:r w:rsidR="009E66A4">
        <w:t>Implementation</w:t>
      </w:r>
    </w:p>
    <w:p w14:paraId="0D5102D1" w14:textId="77777777" w:rsidR="006D4D1D" w:rsidRDefault="009E66A4" w:rsidP="009E66A4">
      <w:r>
        <w:t>To implement these shareweight modifications in GCAM, we produced two add-on XMLs corresponding to the two subsectors we are modifying (</w:t>
      </w:r>
      <w:r w:rsidRPr="00741D22">
        <w:rPr>
          <w:rFonts w:ascii="Courier New" w:hAnsi="Courier New" w:cs="Courier New"/>
        </w:rPr>
        <w:t>road</w:t>
      </w:r>
      <w:r>
        <w:t xml:space="preserve"> and </w:t>
      </w:r>
      <w:r w:rsidRPr="00741D22">
        <w:rPr>
          <w:rFonts w:ascii="Courier New" w:hAnsi="Courier New" w:cs="Courier New"/>
        </w:rPr>
        <w:t>Freight Rail</w:t>
      </w:r>
      <w:r>
        <w:t xml:space="preserve">). </w:t>
      </w:r>
      <w:r w:rsidR="006D4D1D">
        <w:t xml:space="preserve">Within the appropriate </w:t>
      </w:r>
      <w:proofErr w:type="spellStart"/>
      <w:r w:rsidR="006D4D1D" w:rsidRPr="00741D22">
        <w:rPr>
          <w:rFonts w:ascii="Courier New" w:hAnsi="Courier New" w:cs="Courier New"/>
        </w:rPr>
        <w:t>tranSubsector</w:t>
      </w:r>
      <w:proofErr w:type="spellEnd"/>
      <w:r w:rsidR="006D4D1D">
        <w:t xml:space="preserve"> tag, there are three tags we need to include:</w:t>
      </w:r>
    </w:p>
    <w:p w14:paraId="0AC7115A" w14:textId="5361945E" w:rsidR="009E66A4" w:rsidRDefault="006D4D1D" w:rsidP="006D4D1D">
      <w:pPr>
        <w:pStyle w:val="ListParagraph"/>
        <w:numPr>
          <w:ilvl w:val="0"/>
          <w:numId w:val="3"/>
        </w:numPr>
      </w:pPr>
      <w:r>
        <w:t>The shareweight in 2040</w:t>
      </w:r>
    </w:p>
    <w:p w14:paraId="6185AEE4" w14:textId="5DE07D2E" w:rsidR="006D4D1D" w:rsidRDefault="006D4D1D" w:rsidP="006D4D1D">
      <w:pPr>
        <w:pStyle w:val="ListParagraph"/>
        <w:numPr>
          <w:ilvl w:val="0"/>
          <w:numId w:val="3"/>
        </w:numPr>
      </w:pPr>
      <w:r>
        <w:t>The interpolation rule from 2015 to 2040 (linear)</w:t>
      </w:r>
    </w:p>
    <w:p w14:paraId="082F3B8F" w14:textId="33725D54" w:rsidR="006D4D1D" w:rsidRDefault="006D4D1D" w:rsidP="006D4D1D">
      <w:pPr>
        <w:pStyle w:val="ListParagraph"/>
        <w:numPr>
          <w:ilvl w:val="0"/>
          <w:numId w:val="3"/>
        </w:numPr>
      </w:pPr>
      <w:r>
        <w:t>The interpolation rule from 2040 to 2075 (fixed)</w:t>
      </w:r>
    </w:p>
    <w:p w14:paraId="45733C6D" w14:textId="3E0F2597" w:rsidR="006D4D1D" w:rsidRDefault="006D4D1D" w:rsidP="006D4D1D">
      <w:r>
        <w:t xml:space="preserve">Here is the structure of these tags: </w:t>
      </w:r>
    </w:p>
    <w:p w14:paraId="6621F642" w14:textId="390227FC" w:rsidR="006D4D1D" w:rsidRDefault="006D4D1D" w:rsidP="006D4D1D">
      <w:r w:rsidRPr="006D4D1D">
        <w:lastRenderedPageBreak/>
        <w:drawing>
          <wp:inline distT="0" distB="0" distL="0" distR="0" wp14:anchorId="324AC0DD" wp14:editId="2E8ED806">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7820"/>
                    </a:xfrm>
                    <a:prstGeom prst="rect">
                      <a:avLst/>
                    </a:prstGeom>
                  </pic:spPr>
                </pic:pic>
              </a:graphicData>
            </a:graphic>
          </wp:inline>
        </w:drawing>
      </w:r>
    </w:p>
    <w:p w14:paraId="22C4C52B" w14:textId="6BF23874" w:rsidR="006D4D1D" w:rsidRDefault="006D4D1D" w:rsidP="006D4D1D">
      <w:r>
        <w:t xml:space="preserve">***Note that the first interpolation rule includes </w:t>
      </w:r>
      <w:r w:rsidRPr="00741D22">
        <w:rPr>
          <w:rFonts w:ascii="Courier New" w:hAnsi="Courier New" w:cs="Courier New"/>
        </w:rPr>
        <w:t>delete=”1”</w:t>
      </w:r>
      <w:r>
        <w:t xml:space="preserve">. This is necessary </w:t>
      </w:r>
      <w:proofErr w:type="gramStart"/>
      <w:r>
        <w:t>in order to</w:t>
      </w:r>
      <w:proofErr w:type="gramEnd"/>
      <w:r>
        <w:t xml:space="preserve"> override all of the previous (default) interpolation rules. </w:t>
      </w:r>
    </w:p>
    <w:p w14:paraId="466CA37D" w14:textId="2F3BCC7A" w:rsidR="006D4D1D" w:rsidRPr="00741D22" w:rsidRDefault="006D4D1D" w:rsidP="006D4D1D">
      <w:pPr>
        <w:rPr>
          <w:rFonts w:cstheme="minorHAnsi"/>
        </w:rPr>
      </w:pPr>
      <w:r w:rsidRPr="00741D22">
        <w:rPr>
          <w:rFonts w:cstheme="minorHAnsi"/>
        </w:rPr>
        <w:t xml:space="preserve">Since we are implementing “national” policies, we will just assume that the shareweight trajectories are the same for all subregions. Thus, the add-on XMLs have the same values copied into each subregion (Bangkok, Nonthaburi, Samut Prakan, and Rest of Thailand). See </w:t>
      </w:r>
      <w:r w:rsidRPr="00741D22">
        <w:rPr>
          <w:rFonts w:cstheme="minorHAnsi"/>
          <w:highlight w:val="lightGray"/>
        </w:rPr>
        <w:t>freight_rail_0034_2040_lin.xml</w:t>
      </w:r>
      <w:r w:rsidRPr="00741D22">
        <w:rPr>
          <w:rFonts w:cstheme="minorHAnsi"/>
        </w:rPr>
        <w:t xml:space="preserve"> and </w:t>
      </w:r>
      <w:r w:rsidRPr="00741D22">
        <w:rPr>
          <w:rFonts w:cstheme="minorHAnsi"/>
          <w:highlight w:val="lightGray"/>
        </w:rPr>
        <w:t>freight_road_55_2040_lin.xml</w:t>
      </w:r>
      <w:r w:rsidRPr="00741D22">
        <w:rPr>
          <w:rFonts w:cstheme="minorHAnsi"/>
        </w:rPr>
        <w:t xml:space="preserve"> for the final add-on files.</w:t>
      </w:r>
    </w:p>
    <w:p w14:paraId="368FC4B0" w14:textId="2F111DF1" w:rsidR="006D4D1D" w:rsidRDefault="006D4D1D" w:rsidP="006D4D1D">
      <w:pPr>
        <w:pStyle w:val="Heading2"/>
      </w:pPr>
      <w:r>
        <w:t>Extra Information</w:t>
      </w:r>
    </w:p>
    <w:p w14:paraId="3EB66544" w14:textId="3AA128EF" w:rsidR="006D4D1D" w:rsidRDefault="006D4D1D" w:rsidP="006D4D1D">
      <w:pPr>
        <w:pStyle w:val="Heading3"/>
      </w:pPr>
      <w:r>
        <w:t>Batch Runs</w:t>
      </w:r>
    </w:p>
    <w:p w14:paraId="53AC3CC7" w14:textId="5A75CD40" w:rsidR="006D4D1D" w:rsidRDefault="006D4D1D" w:rsidP="006D4D1D">
      <w:r>
        <w:t>To determine the best 2040 shareweights</w:t>
      </w:r>
      <w:r w:rsidR="00D174D8">
        <w:t xml:space="preserve"> that produce the desired shares of freight service, we ran several batches of different shareweight combinations. The </w:t>
      </w:r>
      <w:r w:rsidR="00D174D8" w:rsidRPr="00741D22">
        <w:rPr>
          <w:rFonts w:ascii="Courier New" w:hAnsi="Courier New" w:cs="Courier New"/>
          <w:highlight w:val="lightGray"/>
        </w:rPr>
        <w:t>batch.xml</w:t>
      </w:r>
      <w:r w:rsidR="00D174D8">
        <w:t xml:space="preserve"> file gives an example of the setup for running one such batch. Here is the </w:t>
      </w:r>
      <w:hyperlink r:id="rId6" w:anchor="heading=h.cssp0x15n55k" w:history="1">
        <w:r w:rsidR="00D174D8" w:rsidRPr="00D174D8">
          <w:rPr>
            <w:rStyle w:val="Hyperlink"/>
          </w:rPr>
          <w:t>guide for setting up batch r</w:t>
        </w:r>
        <w:r w:rsidR="00D174D8" w:rsidRPr="00D174D8">
          <w:rPr>
            <w:rStyle w:val="Hyperlink"/>
          </w:rPr>
          <w:t>u</w:t>
        </w:r>
        <w:r w:rsidR="00D174D8" w:rsidRPr="00D174D8">
          <w:rPr>
            <w:rStyle w:val="Hyperlink"/>
          </w:rPr>
          <w:t>ns on PIC</w:t>
        </w:r>
      </w:hyperlink>
      <w:r w:rsidR="00D174D8">
        <w:t>.</w:t>
      </w:r>
    </w:p>
    <w:p w14:paraId="744FF746" w14:textId="2AF974E0" w:rsidR="0007698B" w:rsidRDefault="0007698B" w:rsidP="006D4D1D"/>
    <w:p w14:paraId="3F056E35" w14:textId="7B53D34E" w:rsidR="0007698B" w:rsidRDefault="0007698B" w:rsidP="0007698B">
      <w:pPr>
        <w:pStyle w:val="Heading1"/>
      </w:pPr>
      <w:r>
        <w:t>EV Cost Parity</w:t>
      </w:r>
    </w:p>
    <w:p w14:paraId="59DE4DB9" w14:textId="73904126" w:rsidR="0007698B" w:rsidRDefault="0007698B" w:rsidP="0007698B">
      <w:pPr>
        <w:pStyle w:val="Heading2"/>
      </w:pPr>
      <w:r>
        <w:t>Files</w:t>
      </w:r>
    </w:p>
    <w:p w14:paraId="00203C21" w14:textId="3CD01DA0" w:rsidR="005B2C75" w:rsidRDefault="005B2C75" w:rsidP="005B2C75">
      <w:pPr>
        <w:pStyle w:val="ListParagraph"/>
        <w:numPr>
          <w:ilvl w:val="0"/>
          <w:numId w:val="4"/>
        </w:numPr>
      </w:pPr>
      <w:r>
        <w:t xml:space="preserve">Reference input costs: </w:t>
      </w:r>
      <w:r w:rsidRPr="00C4108F">
        <w:rPr>
          <w:highlight w:val="lightGray"/>
        </w:rPr>
        <w:t>L254.StubTranTechCost_trn_Subregions_Thailand</w:t>
      </w:r>
    </w:p>
    <w:p w14:paraId="14DB0318" w14:textId="0E51212B" w:rsidR="005B2C75" w:rsidRDefault="005B2C75" w:rsidP="005B2C75">
      <w:pPr>
        <w:pStyle w:val="ListParagraph"/>
        <w:numPr>
          <w:ilvl w:val="1"/>
          <w:numId w:val="4"/>
        </w:numPr>
      </w:pPr>
      <w:r>
        <w:t xml:space="preserve">This is a </w:t>
      </w:r>
      <w:proofErr w:type="spellStart"/>
      <w:r>
        <w:t>gcamdata</w:t>
      </w:r>
      <w:proofErr w:type="spellEnd"/>
      <w:r>
        <w:t xml:space="preserve"> intermediate output and has the same values as the XML below</w:t>
      </w:r>
    </w:p>
    <w:p w14:paraId="5972368D" w14:textId="6E689101" w:rsidR="005B2C75" w:rsidRDefault="005B2C75" w:rsidP="005B2C75">
      <w:pPr>
        <w:pStyle w:val="ListParagraph"/>
        <w:numPr>
          <w:ilvl w:val="0"/>
          <w:numId w:val="4"/>
        </w:numPr>
      </w:pPr>
      <w:r>
        <w:t xml:space="preserve">Default XML: </w:t>
      </w:r>
      <w:r w:rsidRPr="00C4108F">
        <w:rPr>
          <w:highlight w:val="lightGray"/>
        </w:rPr>
        <w:t>transportation_Subregions_Thailand</w:t>
      </w:r>
      <w:r w:rsidRPr="00C4108F">
        <w:rPr>
          <w:highlight w:val="lightGray"/>
        </w:rPr>
        <w:t>.xml</w:t>
      </w:r>
    </w:p>
    <w:p w14:paraId="3C8FD092" w14:textId="260258B2" w:rsidR="00C4108F" w:rsidRDefault="00C4108F" w:rsidP="005B2C75">
      <w:pPr>
        <w:pStyle w:val="ListParagraph"/>
        <w:numPr>
          <w:ilvl w:val="0"/>
          <w:numId w:val="4"/>
        </w:numPr>
      </w:pPr>
      <w:r>
        <w:t xml:space="preserve">Cost calculation: </w:t>
      </w:r>
      <w:r w:rsidRPr="00C4108F">
        <w:rPr>
          <w:highlight w:val="lightGray"/>
        </w:rPr>
        <w:t>Thailand_ev_cost.xlsx</w:t>
      </w:r>
    </w:p>
    <w:p w14:paraId="3FCD5DC7" w14:textId="0165B287" w:rsidR="005B2C75" w:rsidRPr="005B2C75" w:rsidRDefault="005B2C75" w:rsidP="005B2C75">
      <w:pPr>
        <w:pStyle w:val="ListParagraph"/>
        <w:numPr>
          <w:ilvl w:val="0"/>
          <w:numId w:val="4"/>
        </w:numPr>
      </w:pPr>
      <w:r>
        <w:t xml:space="preserve">Add-on XML: </w:t>
      </w:r>
      <w:r w:rsidRPr="00C4108F">
        <w:rPr>
          <w:highlight w:val="lightGray"/>
        </w:rPr>
        <w:t>trn_cost_ev_2060p_2070f</w:t>
      </w:r>
      <w:r w:rsidR="00C4108F" w:rsidRPr="00C4108F">
        <w:rPr>
          <w:highlight w:val="lightGray"/>
        </w:rPr>
        <w:t>.xml</w:t>
      </w:r>
    </w:p>
    <w:p w14:paraId="65A6B02F" w14:textId="050D9AAF" w:rsidR="0007698B" w:rsidRDefault="0007698B" w:rsidP="0007698B">
      <w:pPr>
        <w:pStyle w:val="Heading2"/>
      </w:pPr>
      <w:r>
        <w:t>Goal</w:t>
      </w:r>
    </w:p>
    <w:p w14:paraId="75F3D35C" w14:textId="215E52FC" w:rsidR="005B2C75" w:rsidRPr="005B2C75" w:rsidRDefault="005B2C75" w:rsidP="005B2C75">
      <w:r>
        <w:t xml:space="preserve">We are trying to increase EV market penetration to reflect Thailand’s plans to promote EV manufacturing and use. </w:t>
      </w:r>
    </w:p>
    <w:p w14:paraId="42DF0835" w14:textId="25027F9F" w:rsidR="0007698B" w:rsidRDefault="0007698B" w:rsidP="0007698B">
      <w:pPr>
        <w:pStyle w:val="Heading2"/>
      </w:pPr>
      <w:r>
        <w:t>Approach</w:t>
      </w:r>
    </w:p>
    <w:p w14:paraId="6BE6CB34" w14:textId="7B9DFDEA" w:rsidR="005B2C75" w:rsidRPr="005B2C75" w:rsidRDefault="005B2C75" w:rsidP="005B2C75">
      <w:r>
        <w:t>To do this, we will implement cost parity with non-</w:t>
      </w:r>
      <w:proofErr w:type="gramStart"/>
      <w:r>
        <w:t>EVs;</w:t>
      </w:r>
      <w:proofErr w:type="gramEnd"/>
      <w:r>
        <w:t xml:space="preserve"> i.e. simulate the input costs of EVs decreasing gradually until they match the input costs of non-EVs in a certain “cost parity year.” The example here assumes that </w:t>
      </w:r>
      <w:r w:rsidR="00C4108F">
        <w:t xml:space="preserve">passenger EVs will reach cost parity with passenger non-EVs in 2060 and freight EVs will reach cost parity with freight non-EVs in 2070. To calculate the EV cost trajectories, we set the 2060 (2070) input cost for the </w:t>
      </w:r>
      <w:r w:rsidR="00C4108F" w:rsidRPr="00C4108F">
        <w:rPr>
          <w:rFonts w:ascii="Courier New" w:hAnsi="Courier New" w:cs="Courier New"/>
        </w:rPr>
        <w:t>BEV</w:t>
      </w:r>
      <w:r w:rsidR="00C4108F">
        <w:t xml:space="preserve"> and </w:t>
      </w:r>
      <w:r w:rsidR="00C4108F" w:rsidRPr="00C4108F">
        <w:rPr>
          <w:rFonts w:ascii="Courier New" w:hAnsi="Courier New" w:cs="Courier New"/>
        </w:rPr>
        <w:t>Hybrid</w:t>
      </w:r>
      <w:r w:rsidR="00CD2F2B">
        <w:rPr>
          <w:rFonts w:ascii="Courier New" w:hAnsi="Courier New" w:cs="Courier New"/>
        </w:rPr>
        <w:t xml:space="preserve"> Liquids</w:t>
      </w:r>
      <w:r w:rsidR="00C4108F">
        <w:t xml:space="preserve"> technologies equal to the default 2060 (2070) input cost for the </w:t>
      </w:r>
      <w:r w:rsidR="00C4108F" w:rsidRPr="00C4108F">
        <w:rPr>
          <w:rFonts w:ascii="Courier New" w:hAnsi="Courier New" w:cs="Courier New"/>
        </w:rPr>
        <w:t>Liquids</w:t>
      </w:r>
      <w:r w:rsidR="00C4108F">
        <w:t xml:space="preserve"> technology and use the compound annual growth rate to determine costs </w:t>
      </w:r>
      <w:r w:rsidR="00C4108F">
        <w:lastRenderedPageBreak/>
        <w:t xml:space="preserve">up to the parity year. See the </w:t>
      </w:r>
      <w:r w:rsidR="00C4108F" w:rsidRPr="00C4108F">
        <w:rPr>
          <w:highlight w:val="lightGray"/>
        </w:rPr>
        <w:t>thailand_ev_cost.xlsx</w:t>
      </w:r>
      <w:r w:rsidR="00C4108F">
        <w:t xml:space="preserve"> file for details. Note that we need to do this calculation separately for each </w:t>
      </w:r>
      <w:proofErr w:type="spellStart"/>
      <w:r w:rsidR="00C4108F" w:rsidRPr="00C4108F">
        <w:rPr>
          <w:rFonts w:ascii="Courier New" w:hAnsi="Courier New" w:cs="Courier New"/>
        </w:rPr>
        <w:t>tranSubsector</w:t>
      </w:r>
      <w:proofErr w:type="spellEnd"/>
      <w:r w:rsidR="00C4108F">
        <w:t xml:space="preserve"> (</w:t>
      </w:r>
      <w:proofErr w:type="gramStart"/>
      <w:r w:rsidR="00C4108F">
        <w:t>e.g.</w:t>
      </w:r>
      <w:proofErr w:type="gramEnd"/>
      <w:r w:rsidR="00C4108F">
        <w:t xml:space="preserve"> </w:t>
      </w:r>
      <w:r w:rsidR="00C4108F" w:rsidRPr="00C4108F">
        <w:rPr>
          <w:rFonts w:ascii="Courier New" w:hAnsi="Courier New" w:cs="Courier New"/>
        </w:rPr>
        <w:t>Car</w:t>
      </w:r>
      <w:r w:rsidR="00C4108F">
        <w:t xml:space="preserve">, </w:t>
      </w:r>
      <w:r w:rsidR="00C4108F" w:rsidRPr="00C4108F">
        <w:rPr>
          <w:rFonts w:ascii="Courier New" w:hAnsi="Courier New" w:cs="Courier New"/>
        </w:rPr>
        <w:t>Large Car and Truck</w:t>
      </w:r>
      <w:r w:rsidR="00C4108F">
        <w:t>, etc.)</w:t>
      </w:r>
    </w:p>
    <w:p w14:paraId="5D892521" w14:textId="4D07413F" w:rsidR="0007698B" w:rsidRPr="0007698B" w:rsidRDefault="005B2C75" w:rsidP="0007698B">
      <w:pPr>
        <w:pStyle w:val="Heading2"/>
      </w:pPr>
      <w:r>
        <w:t xml:space="preserve">GCAM </w:t>
      </w:r>
      <w:r w:rsidR="0007698B">
        <w:t>Implementation</w:t>
      </w:r>
    </w:p>
    <w:p w14:paraId="6BD79802" w14:textId="419F600D" w:rsidR="00D174D8" w:rsidRDefault="00C4108F" w:rsidP="00D174D8">
      <w:r>
        <w:t>To implement these input cost modifications in GCAM, we produced an add-on XML. Within each</w:t>
      </w:r>
      <w:r w:rsidR="00CD2F2B">
        <w:t xml:space="preserve"> relevant</w:t>
      </w:r>
      <w:r>
        <w:t xml:space="preserve"> </w:t>
      </w:r>
      <w:r w:rsidRPr="00CD2F2B">
        <w:rPr>
          <w:rFonts w:ascii="Courier New" w:hAnsi="Courier New" w:cs="Courier New"/>
        </w:rPr>
        <w:t>stub-technology</w:t>
      </w:r>
      <w:r w:rsidR="00CD2F2B">
        <w:t xml:space="preserve"> (BEV and Hybrid Liquids) for each relevant </w:t>
      </w:r>
      <w:proofErr w:type="spellStart"/>
      <w:r w:rsidR="00CD2F2B" w:rsidRPr="00CD2F2B">
        <w:rPr>
          <w:rFonts w:ascii="Courier New" w:hAnsi="Courier New" w:cs="Courier New"/>
        </w:rPr>
        <w:t>tranSubSector</w:t>
      </w:r>
      <w:proofErr w:type="spellEnd"/>
      <w:r w:rsidR="00CD2F2B">
        <w:t xml:space="preserve"> (Heavy Truck, Light Truck, Medium truck, 2W and 3W, Car, Large Car and Truck, Mini Car), we set the desired input cost for each year. Note that we only modified the costs between 2020 and the parity year.</w:t>
      </w:r>
    </w:p>
    <w:p w14:paraId="27CEDDBB" w14:textId="74B5F119" w:rsidR="00C4108F" w:rsidRDefault="00C4108F" w:rsidP="00D174D8">
      <w:r w:rsidRPr="00C4108F">
        <w:drawing>
          <wp:inline distT="0" distB="0" distL="0" distR="0" wp14:anchorId="680317A3" wp14:editId="59AEBCBA">
            <wp:extent cx="4420217" cy="27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2724530"/>
                    </a:xfrm>
                    <a:prstGeom prst="rect">
                      <a:avLst/>
                    </a:prstGeom>
                  </pic:spPr>
                </pic:pic>
              </a:graphicData>
            </a:graphic>
          </wp:inline>
        </w:drawing>
      </w:r>
    </w:p>
    <w:p w14:paraId="267052DD" w14:textId="77777777" w:rsidR="0092053A" w:rsidRDefault="0092053A" w:rsidP="0092053A">
      <w:pPr>
        <w:pStyle w:val="Heading2"/>
      </w:pPr>
      <w:r>
        <w:t>Extra Information</w:t>
      </w:r>
    </w:p>
    <w:p w14:paraId="02EF483E" w14:textId="0F8BA3CE" w:rsidR="00CD2F2B" w:rsidRDefault="0092053A" w:rsidP="0092053A">
      <w:pPr>
        <w:pStyle w:val="Heading3"/>
      </w:pPr>
      <w:r>
        <w:t>Generating XMLs</w:t>
      </w:r>
    </w:p>
    <w:p w14:paraId="7B17C4BD" w14:textId="13BDB5F5" w:rsidR="0092053A" w:rsidRPr="0092053A" w:rsidRDefault="0092053A" w:rsidP="0092053A">
      <w:r>
        <w:t xml:space="preserve">The R script </w:t>
      </w:r>
      <w:proofErr w:type="spellStart"/>
      <w:r w:rsidRPr="0092053A">
        <w:rPr>
          <w:highlight w:val="lightGray"/>
        </w:rPr>
        <w:t>generate_trn_cost_</w:t>
      </w:r>
      <w:proofErr w:type="gramStart"/>
      <w:r w:rsidRPr="0092053A">
        <w:rPr>
          <w:highlight w:val="lightGray"/>
        </w:rPr>
        <w:t>xml.R</w:t>
      </w:r>
      <w:proofErr w:type="spellEnd"/>
      <w:proofErr w:type="gramEnd"/>
      <w:r>
        <w:t xml:space="preserve"> has a function to calculate the input cost trajectories (rather than doing this in Excel) and also to generate the add-on XML using XML functions from the </w:t>
      </w:r>
      <w:proofErr w:type="spellStart"/>
      <w:r w:rsidRPr="0092053A">
        <w:rPr>
          <w:rFonts w:ascii="Courier New" w:hAnsi="Courier New" w:cs="Courier New"/>
        </w:rPr>
        <w:t>gcamdata</w:t>
      </w:r>
      <w:proofErr w:type="spellEnd"/>
      <w:r>
        <w:t xml:space="preserve"> package.</w:t>
      </w:r>
    </w:p>
    <w:sectPr w:rsidR="0092053A" w:rsidRPr="0092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3E4"/>
    <w:multiLevelType w:val="hybridMultilevel"/>
    <w:tmpl w:val="346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55CDE"/>
    <w:multiLevelType w:val="hybridMultilevel"/>
    <w:tmpl w:val="F146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44730"/>
    <w:multiLevelType w:val="hybridMultilevel"/>
    <w:tmpl w:val="84D201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FAA63C4"/>
    <w:multiLevelType w:val="hybridMultilevel"/>
    <w:tmpl w:val="34F06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EE"/>
    <w:rsid w:val="0007698B"/>
    <w:rsid w:val="00145F63"/>
    <w:rsid w:val="005001FA"/>
    <w:rsid w:val="005B2C75"/>
    <w:rsid w:val="005E33C5"/>
    <w:rsid w:val="006D4D1D"/>
    <w:rsid w:val="00741D22"/>
    <w:rsid w:val="0088123D"/>
    <w:rsid w:val="0092053A"/>
    <w:rsid w:val="00933FB0"/>
    <w:rsid w:val="009E66A4"/>
    <w:rsid w:val="00B312EE"/>
    <w:rsid w:val="00C4108F"/>
    <w:rsid w:val="00CD2F2B"/>
    <w:rsid w:val="00D174D8"/>
    <w:rsid w:val="00E0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3991"/>
  <w15:chartTrackingRefBased/>
  <w15:docId w15:val="{CC0868AA-2BD5-4B22-906C-70432EAB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05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01F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01FA"/>
    <w:pPr>
      <w:ind w:left="720"/>
      <w:contextualSpacing/>
    </w:pPr>
  </w:style>
  <w:style w:type="character" w:customStyle="1" w:styleId="Heading1Char">
    <w:name w:val="Heading 1 Char"/>
    <w:basedOn w:val="DefaultParagraphFont"/>
    <w:link w:val="Heading1"/>
    <w:uiPriority w:val="9"/>
    <w:rsid w:val="006D4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74D8"/>
    <w:rPr>
      <w:color w:val="0563C1" w:themeColor="hyperlink"/>
      <w:u w:val="single"/>
    </w:rPr>
  </w:style>
  <w:style w:type="character" w:styleId="UnresolvedMention">
    <w:name w:val="Unresolved Mention"/>
    <w:basedOn w:val="DefaultParagraphFont"/>
    <w:uiPriority w:val="99"/>
    <w:semiHidden/>
    <w:unhideWhenUsed/>
    <w:rsid w:val="00D174D8"/>
    <w:rPr>
      <w:color w:val="605E5C"/>
      <w:shd w:val="clear" w:color="auto" w:fill="E1DFDD"/>
    </w:rPr>
  </w:style>
  <w:style w:type="character" w:styleId="FollowedHyperlink">
    <w:name w:val="FollowedHyperlink"/>
    <w:basedOn w:val="DefaultParagraphFont"/>
    <w:uiPriority w:val="99"/>
    <w:semiHidden/>
    <w:unhideWhenUsed/>
    <w:rsid w:val="00D174D8"/>
    <w:rPr>
      <w:color w:val="954F72" w:themeColor="followedHyperlink"/>
      <w:u w:val="single"/>
    </w:rPr>
  </w:style>
  <w:style w:type="character" w:customStyle="1" w:styleId="Heading4Char">
    <w:name w:val="Heading 4 Char"/>
    <w:basedOn w:val="DefaultParagraphFont"/>
    <w:link w:val="Heading4"/>
    <w:uiPriority w:val="9"/>
    <w:rsid w:val="009205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aURCiSaKkbDFUSLpCnT7K5uNyws5ThxIQMr7E3bIWWc/e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643</Words>
  <Characters>3955</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Waite, Taryn R</dc:creator>
  <cp:keywords/>
  <dc:description/>
  <cp:lastModifiedBy>Waite, Taryn R</cp:lastModifiedBy>
  <cp:revision>7</cp:revision>
  <dcterms:created xsi:type="dcterms:W3CDTF">2022-05-11T15:07:00Z</dcterms:created>
  <dcterms:modified xsi:type="dcterms:W3CDTF">2022-05-11T17:34:00Z</dcterms:modified>
</cp:coreProperties>
</file>