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1.png" ContentType="image/png"/>
  <Override PartName="/word/media/rId29.png" ContentType="image/png"/>
  <Override PartName="/word/media/rId27.png" ContentType="image/png"/>
  <Override PartName="/word/media/rId26.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w:t>
      </w:r>
      <w:r>
        <w:t xml:space="preserve"> </w:t>
      </w:r>
      <w:r>
        <w:t xml:space="preserve">Metric</w:t>
      </w:r>
      <w:r>
        <w:t xml:space="preserve"> </w:t>
      </w:r>
      <w:r>
        <w:t xml:space="preserve">Practice</w:t>
      </w:r>
    </w:p>
    <w:p>
      <w:pPr>
        <w:pStyle w:val="Heading2"/>
      </w:pPr>
      <w:bookmarkStart w:id="21" w:name="langenbrunners-dn-metric"/>
      <w:bookmarkEnd w:id="21"/>
      <w:r>
        <w:t xml:space="preserve">Langenbrunner’s Dn Metric</w:t>
      </w:r>
    </w:p>
    <w:p>
      <w:pPr>
        <w:pStyle w:val="FirstParagraph"/>
      </w:pPr>
      <w:r>
        <w:t xml:space="preserve">The Draft 2006 technical paper uses a slightly different one then than what the Blanco and Hunkle Sea Ice Model.</w:t>
      </w:r>
    </w:p>
    <w:p>
      <w:pPr>
        <w:pStyle w:val="BodyText"/>
      </w:pPr>
      <w:r>
        <w:t xml:space="preserve">In the Draft paper the normalized difference is weighted by</w:t>
      </w:r>
      <w:r>
        <w:t xml:space="preserve"> </w:t>
      </w:r>
      <m:oMath>
        <m:f>
          <m:fPr>
            <m:type m:val="bar"/>
          </m:fPr>
          <m:num>
            <m:r>
              <m:t>1</m:t>
            </m:r>
          </m:num>
          <m:den>
            <m:r>
              <m:t>n</m:t>
            </m:r>
            <m:r>
              <m:t>−</m:t>
            </m:r>
            <m:r>
              <m:t>p</m:t>
            </m:r>
            <m:r>
              <m:t>a</m:t>
            </m:r>
            <m:r>
              <m:t>r</m:t>
            </m:r>
            <m:r>
              <m:t>a</m:t>
            </m:r>
            <m:r>
              <m:t>m</m:t>
            </m:r>
          </m:den>
        </m:f>
      </m:oMath>
      <w:r>
        <w:t xml:space="preserve"> </w:t>
      </w:r>
      <w:r>
        <w:t xml:space="preserve">whereas in Blanco and Hunkle Sea Ice the normalized difference is weighted by</w:t>
      </w:r>
      <w:r>
        <w:t xml:space="preserve"> </w:t>
      </w:r>
      <m:oMath>
        <m:f>
          <m:fPr>
            <m:type m:val="bar"/>
          </m:fPr>
          <m:num>
            <m:r>
              <m:t>1</m:t>
            </m:r>
          </m:num>
          <m:den>
            <m:r>
              <m:t>n</m:t>
            </m:r>
          </m:den>
        </m:f>
      </m:oMath>
      <w:r>
        <w:t xml:space="preserve"> </w:t>
      </w:r>
      <w:r>
        <w:t xml:space="preserve">. I think that this is pretty trivial and that we can go with the Blanco and Hunkle Sea Ice method.</w:t>
      </w:r>
    </w:p>
    <w:p>
      <w:pPr>
        <w:pStyle w:val="BodyText"/>
      </w:pPr>
      <w:r>
        <w:t xml:space="preserve">The big idea is that</w:t>
      </w:r>
      <w:r>
        <w:t xml:space="preserve"> </w:t>
      </w:r>
      <m:oMath>
        <m:sSub>
          <m:e>
            <m:r>
              <m:t>D</m:t>
            </m:r>
          </m:e>
          <m:sub>
            <m:r>
              <m:t>n</m:t>
            </m:r>
          </m:sub>
        </m:sSub>
      </m:oMath>
      <w:r>
        <w:t xml:space="preserve"> </w:t>
      </w:r>
      <w:r>
        <w:t xml:space="preserve">is a</w:t>
      </w:r>
      <w:r>
        <w:t xml:space="preserve"> </w:t>
      </w:r>
      <m:oMath>
        <m:r>
          <m:t>γ</m:t>
        </m:r>
      </m:oMath>
      <w:r>
        <w:t xml:space="preserve"> </w:t>
      </w:r>
      <w:r>
        <w:t xml:space="preserve">distributed metric that takes into account both model and observational variablitly when judging the error between the model and observational data.</w:t>
      </w:r>
    </w:p>
    <w:p>
      <w:pPr>
        <w:pStyle w:val="Heading5"/>
      </w:pPr>
      <w:bookmarkStart w:id="22" w:name="part-1"/>
      <w:bookmarkEnd w:id="22"/>
      <w:r>
        <w:t xml:space="preserve">Part 1</w:t>
      </w:r>
    </w:p>
    <w:p>
      <w:pPr>
        <w:pStyle w:val="FirstParagraph"/>
      </w:pPr>
      <m:oMathPara>
        <m:oMathParaPr>
          <m:jc m:val="center"/>
        </m:oMathParaPr>
        <m:oMath>
          <m:sSub>
            <m:e>
              <m:r>
                <m:t>D</m:t>
              </m:r>
            </m:e>
            <m:sub>
              <m:r>
                <m:t>n</m:t>
              </m:r>
            </m:sub>
          </m:sSub>
          <m:r>
            <m:t>=</m:t>
          </m:r>
          <m:f>
            <m:fPr>
              <m:type m:val="bar"/>
            </m:fPr>
            <m:num>
              <m:r>
                <m:t>1</m:t>
              </m:r>
            </m:num>
            <m:den>
              <m:r>
                <m:t>n</m:t>
              </m:r>
            </m:den>
          </m:f>
          <m:nary>
            <m:naryPr>
              <m:chr m:val="∑"/>
              <m:limLoc m:val="undOvr"/>
              <m:subHide m:val="0"/>
              <m:supHide m:val="0"/>
            </m:naryPr>
            <m:sub>
              <m:r>
                <m:t>i</m:t>
              </m:r>
              <m:r>
                <m:t>=</m:t>
              </m:r>
              <m:r>
                <m:t>1</m:t>
              </m:r>
            </m:sub>
            <m:sup>
              <m:r>
                <m:t>n</m:t>
              </m:r>
            </m:sup>
            <m:e>
              <m:f>
                <m:fPr>
                  <m:type m:val="bar"/>
                </m:fPr>
                <m:num>
                  <m:r>
                    <m:t>(</m:t>
                  </m:r>
                  <m:sSub>
                    <m:e>
                      <m:r>
                        <m:t>O</m:t>
                      </m:r>
                    </m:e>
                    <m:sub>
                      <m:r>
                        <m:t>i</m:t>
                      </m:r>
                    </m:sub>
                  </m:sSub>
                  <m:r>
                    <m:t>−</m:t>
                  </m:r>
                  <m:sSub>
                    <m:e>
                      <m:r>
                        <m:t>M</m:t>
                      </m:r>
                    </m:e>
                    <m:sub>
                      <m:r>
                        <m:t>i</m:t>
                      </m:r>
                    </m:sub>
                  </m:sSub>
                  <m:sSup>
                    <m:e>
                      <m:r>
                        <m:t>)</m:t>
                      </m:r>
                    </m:e>
                    <m:sup>
                      <m:r>
                        <m:t>2</m:t>
                      </m:r>
                    </m:sup>
                  </m:sSup>
                </m:num>
                <m:den>
                  <m:sSubSup>
                    <m:e>
                      <m:r>
                        <m:t>s</m:t>
                      </m:r>
                    </m:e>
                    <m:sub>
                      <m:r>
                        <m:t>i</m:t>
                      </m:r>
                    </m:sub>
                    <m:sup>
                      <m:r>
                        <m:t>2</m:t>
                      </m:r>
                    </m:sup>
                  </m:sSubSup>
                </m:den>
              </m:f>
            </m:e>
          </m:nary>
        </m:oMath>
      </m:oMathPara>
    </w:p>
    <w:p>
      <w:pPr>
        <w:pStyle w:val="FirstParagraph"/>
      </w:pPr>
      <w:r>
        <w:rPr>
          <w:b/>
        </w:rPr>
        <w:t xml:space="preserve">Equation 1:</w:t>
      </w:r>
      <w:r>
        <w:t xml:space="preserve"> </w:t>
      </w:r>
      <w:r>
        <w:t xml:space="preserve">This calculates</w:t>
      </w:r>
      <w:r>
        <w:t xml:space="preserve"> </w:t>
      </w:r>
      <m:oMath>
        <m:sSub>
          <m:e>
            <m:r>
              <m:t>D</m:t>
            </m:r>
          </m:e>
          <m:sub>
            <m:r>
              <m:t>n</m:t>
            </m:r>
          </m:sub>
        </m:sSub>
      </m:oMath>
      <w:r>
        <w:t xml:space="preserve"> </w:t>
      </w:r>
      <w:r>
        <w:t xml:space="preserve">the distance metric between an observation data point and a model data point nomalized by</w:t>
      </w:r>
      <w:r>
        <w:t xml:space="preserve"> </w:t>
      </w:r>
      <m:oMath>
        <m:sSubSup>
          <m:e>
            <m:r>
              <m:t>s</m:t>
            </m:r>
          </m:e>
          <m:sub>
            <m:r>
              <m:t>i</m:t>
            </m:r>
          </m:sub>
          <m:sup>
            <m:r>
              <m:t>2</m:t>
            </m:r>
          </m:sup>
        </m:sSubSup>
      </m:oMath>
      <w:r>
        <w:t xml:space="preserve"> </w:t>
      </w:r>
      <w:r>
        <w:t xml:space="preserve">some sort of variability index. In the Sea Ice Model paper this was set equal to the sd of the the observational data we will probably want to do the same.</w:t>
      </w:r>
    </w:p>
    <w:p>
      <w:pPr>
        <w:pStyle w:val="Heading4"/>
      </w:pPr>
      <w:bookmarkStart w:id="23" w:name="part-2"/>
      <w:bookmarkEnd w:id="23"/>
      <w:r>
        <w:t xml:space="preserve">Part 2</w:t>
      </w:r>
    </w:p>
    <w:p>
      <w:pPr>
        <w:pStyle w:val="FirstParagraph"/>
      </w:pPr>
      <w:r>
        <w:t xml:space="preserve">One of the advantages to using this method is that</w:t>
      </w:r>
      <w:r>
        <w:t xml:space="preserve"> </w:t>
      </w:r>
      <m:oMath>
        <m:sSub>
          <m:e>
            <m:r>
              <m:t>D</m:t>
            </m:r>
          </m:e>
          <m:sub>
            <m:r>
              <m:t>n</m:t>
            </m:r>
          </m:sub>
        </m:sSub>
      </m:oMath>
      <w:r>
        <w:t xml:space="preserve"> </w:t>
      </w:r>
      <w:r>
        <w:t xml:space="preserve">has a</w:t>
      </w:r>
      <w:r>
        <w:t xml:space="preserve"> </w:t>
      </w:r>
      <m:oMath>
        <m:r>
          <m:t>γ</m:t>
        </m:r>
      </m:oMath>
      <w:r>
        <w:t xml:space="preserve"> </w:t>
      </w:r>
      <w:r>
        <w:t xml:space="preserve">distribution so we can judge the model output</w:t>
      </w:r>
      <w:r>
        <w:t xml:space="preserve"> </w:t>
      </w:r>
      <w:r>
        <w:t xml:space="preserve">“</w:t>
      </w:r>
      <w:r>
        <w:t xml:space="preserve">matches</w:t>
      </w:r>
      <w:r>
        <w:t xml:space="preserve">”</w:t>
      </w:r>
      <w:r>
        <w:t xml:space="preserve"> </w:t>
      </w:r>
      <w:r>
        <w:t xml:space="preserve">observations on some significance level.</w:t>
      </w:r>
    </w:p>
    <w:p>
      <w:pPr>
        <w:pStyle w:val="BodyText"/>
      </w:pPr>
      <w:r>
        <w:t xml:space="preserve">We can figure out what the distribtuion of</w:t>
      </w:r>
      <w:r>
        <w:t xml:space="preserve"> </w:t>
      </w:r>
      <m:oMath>
        <m:sSub>
          <m:e>
            <m:r>
              <m:t>D</m:t>
            </m:r>
          </m:e>
          <m:sub>
            <m:r>
              <m:t>n</m:t>
            </m:r>
          </m:sub>
        </m:sSub>
      </m:oMath>
      <w:r>
        <w:t xml:space="preserve"> </w:t>
      </w:r>
      <w:r>
        <w:t xml:space="preserve">or</w:t>
      </w:r>
      <w:r>
        <w:t xml:space="preserve"> </w:t>
      </w:r>
      <m:oMath>
        <m:r>
          <m:t>γ</m:t>
        </m:r>
        <m:r>
          <m:t>(</m:t>
        </m:r>
        <m:sSub>
          <m:e>
            <m:r>
              <m:t>D</m:t>
            </m:r>
          </m:e>
          <m:sub>
            <m:r>
              <m:t>n</m:t>
            </m:r>
          </m:sub>
        </m:sSub>
        <m:r>
          <m:t>,</m:t>
        </m:r>
        <m:r>
          <m:t>a</m:t>
        </m:r>
        <m:r>
          <m:t>,</m:t>
        </m:r>
        <m:r>
          <m:t>b</m:t>
        </m:r>
        <m:r>
          <m:t>)</m:t>
        </m:r>
      </m:oMath>
      <w:r>
        <w:t xml:space="preserve"> </w:t>
      </w:r>
      <w:r>
        <w:t xml:space="preserve">with</w:t>
      </w:r>
      <w:r>
        <w:t xml:space="preserve"> </w:t>
      </w:r>
      <m:oMath>
        <m:r>
          <m:t>a</m:t>
        </m:r>
        <m:r>
          <m:t>=</m:t>
        </m:r>
        <m:f>
          <m:fPr>
            <m:type m:val="bar"/>
          </m:fPr>
          <m:num>
            <m:r>
              <m:t>n</m:t>
            </m:r>
          </m:num>
          <m:den>
            <m:r>
              <m:t>2</m:t>
            </m:r>
          </m:den>
        </m:f>
      </m:oMath>
      <w:r>
        <w:t xml:space="preserve"> </w:t>
      </w:r>
      <w:r>
        <w:t xml:space="preserve">and $b =</w:t>
      </w:r>
      <w:r>
        <w:t xml:space="preserve"> </w:t>
      </w:r>
      <w:r>
        <w:t xml:space="preserve">^2</w:t>
      </w:r>
      <w:r>
        <w:t xml:space="preserve"> </w:t>
      </w:r>
      <w:r>
        <w:t xml:space="preserve">_{i = 1}^{n}</w:t>
      </w:r>
      <w:r>
        <w:t xml:space="preserve"> </w:t>
      </w:r>
      <w:r>
        <w:t xml:space="preserve">$</w:t>
      </w:r>
    </w:p>
    <w:p>
      <w:pPr>
        <w:pStyle w:val="Heading5"/>
      </w:pPr>
      <w:bookmarkStart w:id="24" w:name="things-we-will-need-to-decide-on"/>
      <w:bookmarkEnd w:id="24"/>
      <w:r>
        <w:t xml:space="preserve">Things we will need to decide on</w:t>
      </w:r>
    </w:p>
    <w:p>
      <w:pPr>
        <w:pStyle w:val="Compact"/>
        <w:numPr>
          <w:numId w:val="1001"/>
          <w:ilvl w:val="0"/>
        </w:numPr>
      </w:pPr>
      <m:oMath>
        <m:sSub>
          <m:e>
            <m:r>
              <m:t>s</m:t>
            </m:r>
          </m:e>
          <m:sub>
            <m:r>
              <m:t>i</m:t>
            </m:r>
          </m:sub>
        </m:sSub>
      </m:oMath>
      <w:r>
        <w:t xml:space="preserve"> </w:t>
      </w:r>
      <w:r>
        <w:t xml:space="preserve">: in the sea ice paper they chose this value to represent the observational variablity and set it equal to the sd</w:t>
      </w:r>
    </w:p>
    <w:p>
      <w:pPr>
        <w:pStyle w:val="Compact"/>
        <w:numPr>
          <w:numId w:val="1001"/>
          <w:ilvl w:val="0"/>
        </w:numPr>
      </w:pPr>
      <m:oMath>
        <m:sSub>
          <m:e>
            <m:r>
              <m:t>σ</m:t>
            </m:r>
          </m:e>
          <m:sub>
            <m:r>
              <m:t>O</m:t>
            </m:r>
            <m:r>
              <m:t>−</m:t>
            </m:r>
            <m:r>
              <m:t>M</m:t>
            </m:r>
          </m:sub>
        </m:sSub>
      </m:oMath>
      <w:r>
        <w:t xml:space="preserve"> </w:t>
      </w:r>
      <w:r>
        <w:t xml:space="preserve">: in the sea ice paper was set to account for spatial variability and they mention that it could be set up to allow for temporal variability. Otherwise we could assume that there is no model variability but this would make the</w:t>
      </w:r>
      <w:r>
        <w:t xml:space="preserve"> </w:t>
      </w:r>
      <w:r>
        <w:t xml:space="preserve">“</w:t>
      </w:r>
      <w:r>
        <w:t xml:space="preserve">matching</w:t>
      </w:r>
      <w:r>
        <w:t xml:space="preserve">”</w:t>
      </w:r>
      <w:r>
        <w:t xml:space="preserve"> </w:t>
      </w:r>
      <w:r>
        <w:t xml:space="preserve">criteria harder.</w:t>
      </w:r>
    </w:p>
    <w:p>
      <w:pPr>
        <w:pStyle w:val="Compact"/>
        <w:numPr>
          <w:numId w:val="1001"/>
          <w:ilvl w:val="0"/>
        </w:numPr>
      </w:pPr>
      <m:oMath>
        <m:r>
          <m:t>α</m:t>
        </m:r>
      </m:oMath>
      <w:r>
        <w:t xml:space="preserve"> </w:t>
      </w:r>
      <w:r>
        <w:t xml:space="preserve">: the significance level for the testing</w:t>
      </w:r>
    </w:p>
    <w:p>
      <w:pPr>
        <w:pStyle w:val="Heading2"/>
      </w:pPr>
      <w:bookmarkStart w:id="25" w:name="exploring-dn"/>
      <w:bookmarkEnd w:id="25"/>
      <w:r>
        <w:t xml:space="preserve">Exploring Dn</w:t>
      </w:r>
    </w:p>
    <w:p>
      <w:pPr>
        <w:pStyle w:val="FirstParagraph"/>
      </w:pPr>
      <w:r>
        <w:t xml:space="preserve">The number of Hector runs that significantly match the obs data based on the Dn and Dc statistics. I am a little unhappy that land flux is equal to 0, I think that this has to do with decsions related to the Dc stat.</w:t>
      </w:r>
    </w:p>
    <w:p>
      <w:pPr>
        <w:pStyle w:val="Figure"/>
      </w:pPr>
      <w:r>
        <w:drawing>
          <wp:inline>
            <wp:extent cx="5334000" cy="4526786"/>
            <wp:effectExtent b="0" l="0" r="0" t="0"/>
            <wp:docPr descr="" title="" id="1" name="Picture"/>
            <a:graphic>
              <a:graphicData uri="http://schemas.openxmlformats.org/drawingml/2006/picture">
                <pic:pic>
                  <pic:nvPicPr>
                    <pic:cNvPr descr="C:/Users/dorh012/Documents/hector-SA-npar/methods_check/Dn/run_count.png" id="0" name="Picture"/>
                    <pic:cNvPicPr>
                      <a:picLocks noChangeArrowheads="1" noChangeAspect="1"/>
                    </pic:cNvPicPr>
                  </pic:nvPicPr>
                  <pic:blipFill>
                    <a:blip r:embed="rId26"/>
                    <a:stretch>
                      <a:fillRect/>
                    </a:stretch>
                  </pic:blipFill>
                  <pic:spPr bwMode="auto">
                    <a:xfrm>
                      <a:off x="0" y="0"/>
                      <a:ext cx="5334000" cy="4526786"/>
                    </a:xfrm>
                    <a:prstGeom prst="rect">
                      <a:avLst/>
                    </a:prstGeom>
                    <a:noFill/>
                    <a:ln w="9525">
                      <a:noFill/>
                      <a:headEnd/>
                      <a:tailEnd/>
                    </a:ln>
                  </pic:spPr>
                </pic:pic>
              </a:graphicData>
            </a:graphic>
          </wp:inline>
        </w:drawing>
      </w:r>
    </w:p>
    <w:p>
      <w:pPr>
        <w:pStyle w:val="FirstParagraph"/>
      </w:pPr>
      <w:r>
        <w:t xml:space="preserve">A look at all the hector runs, the hector runs that match an obs, the top 10 Dn scores and the obs data.</w:t>
      </w:r>
    </w:p>
    <w:p>
      <w:pPr>
        <w:pStyle w:val="Figure"/>
      </w:pPr>
      <w:r>
        <w:drawing>
          <wp:inline>
            <wp:extent cx="5334000" cy="4526786"/>
            <wp:effectExtent b="0" l="0" r="0" t="0"/>
            <wp:docPr descr="" title="" id="1" name="Picture"/>
            <a:graphic>
              <a:graphicData uri="http://schemas.openxmlformats.org/drawingml/2006/picture">
                <pic:pic>
                  <pic:nvPicPr>
                    <pic:cNvPr descr="C:/Users/dorh012/Documents/hector-SA-npar/methods_check/Dn/Tgav_Hector_obs.png" id="0" name="Picture"/>
                    <pic:cNvPicPr>
                      <a:picLocks noChangeArrowheads="1" noChangeAspect="1"/>
                    </pic:cNvPicPr>
                  </pic:nvPicPr>
                  <pic:blipFill>
                    <a:blip r:embed="rId27"/>
                    <a:stretch>
                      <a:fillRect/>
                    </a:stretch>
                  </pic:blipFill>
                  <pic:spPr bwMode="auto">
                    <a:xfrm>
                      <a:off x="0" y="0"/>
                      <a:ext cx="5334000" cy="4526786"/>
                    </a:xfrm>
                    <a:prstGeom prst="rect">
                      <a:avLst/>
                    </a:prstGeom>
                    <a:noFill/>
                    <a:ln w="9525">
                      <a:noFill/>
                      <a:headEnd/>
                      <a:tailEnd/>
                    </a:ln>
                  </pic:spPr>
                </pic:pic>
              </a:graphicData>
            </a:graphic>
          </wp:inline>
        </w:drawing>
      </w:r>
    </w:p>
    <w:p>
      <w:pPr>
        <w:pStyle w:val="Figure"/>
      </w:pPr>
      <w:r>
        <w:drawing>
          <wp:inline>
            <wp:extent cx="5334000" cy="4526786"/>
            <wp:effectExtent b="0" l="0" r="0" t="0"/>
            <wp:docPr descr="" title="" id="1" name="Picture"/>
            <a:graphic>
              <a:graphicData uri="http://schemas.openxmlformats.org/drawingml/2006/picture">
                <pic:pic>
                  <pic:nvPicPr>
                    <pic:cNvPr descr="C:/Users/dorh012/Documents/hector-SA-npar/methods_check/Dn/CO2_Hector_obs.png" id="0" name="Picture"/>
                    <pic:cNvPicPr>
                      <a:picLocks noChangeArrowheads="1" noChangeAspect="1"/>
                    </pic:cNvPicPr>
                  </pic:nvPicPr>
                  <pic:blipFill>
                    <a:blip r:embed="rId28"/>
                    <a:stretch>
                      <a:fillRect/>
                    </a:stretch>
                  </pic:blipFill>
                  <pic:spPr bwMode="auto">
                    <a:xfrm>
                      <a:off x="0" y="0"/>
                      <a:ext cx="5334000" cy="4526786"/>
                    </a:xfrm>
                    <a:prstGeom prst="rect">
                      <a:avLst/>
                    </a:prstGeom>
                    <a:noFill/>
                    <a:ln w="9525">
                      <a:noFill/>
                      <a:headEnd/>
                      <a:tailEnd/>
                    </a:ln>
                  </pic:spPr>
                </pic:pic>
              </a:graphicData>
            </a:graphic>
          </wp:inline>
        </w:drawing>
      </w:r>
    </w:p>
    <w:p>
      <w:pPr>
        <w:pStyle w:val="Figure"/>
      </w:pPr>
      <w:r>
        <w:drawing>
          <wp:inline>
            <wp:extent cx="5334000" cy="4526786"/>
            <wp:effectExtent b="0" l="0" r="0" t="0"/>
            <wp:docPr descr="" title="" id="1" name="Picture"/>
            <a:graphic>
              <a:graphicData uri="http://schemas.openxmlformats.org/drawingml/2006/picture">
                <pic:pic>
                  <pic:nvPicPr>
                    <pic:cNvPr descr="C:/Users/dorh012/Documents/hector-SA-npar/methods_check/Dn/LandFlux_Hector_obs.png" id="0" name="Picture"/>
                    <pic:cNvPicPr>
                      <a:picLocks noChangeArrowheads="1" noChangeAspect="1"/>
                    </pic:cNvPicPr>
                  </pic:nvPicPr>
                  <pic:blipFill>
                    <a:blip r:embed="rId29"/>
                    <a:stretch>
                      <a:fillRect/>
                    </a:stretch>
                  </pic:blipFill>
                  <pic:spPr bwMode="auto">
                    <a:xfrm>
                      <a:off x="0" y="0"/>
                      <a:ext cx="5334000" cy="4526786"/>
                    </a:xfrm>
                    <a:prstGeom prst="rect">
                      <a:avLst/>
                    </a:prstGeom>
                    <a:noFill/>
                    <a:ln w="9525">
                      <a:noFill/>
                      <a:headEnd/>
                      <a:tailEnd/>
                    </a:ln>
                  </pic:spPr>
                </pic:pic>
              </a:graphicData>
            </a:graphic>
          </wp:inline>
        </w:drawing>
      </w:r>
    </w:p>
    <w:p>
      <w:pPr>
        <w:pStyle w:val="FirstParagraph"/>
      </w:pPr>
      <w:r>
        <w:t xml:space="preserve">Top ten Dn runs.</w:t>
      </w:r>
    </w:p>
    <w:p>
      <w:pPr>
        <w:pStyle w:val="Figure"/>
      </w:pPr>
      <w:r>
        <w:drawing>
          <wp:inline>
            <wp:extent cx="5334000" cy="4526786"/>
            <wp:effectExtent b="0" l="0" r="0" t="0"/>
            <wp:docPr descr="" title="" id="1" name="Picture"/>
            <a:graphic>
              <a:graphicData uri="http://schemas.openxmlformats.org/drawingml/2006/picture">
                <pic:pic>
                  <pic:nvPicPr>
                    <pic:cNvPr descr="C:/Users/dorh012/Documents/hector-SA-npar/methods_check/Dn/top_10_ranking.png" id="0" name="Picture"/>
                    <pic:cNvPicPr>
                      <a:picLocks noChangeArrowheads="1" noChangeAspect="1"/>
                    </pic:cNvPicPr>
                  </pic:nvPicPr>
                  <pic:blipFill>
                    <a:blip r:embed="rId30"/>
                    <a:stretch>
                      <a:fillRect/>
                    </a:stretch>
                  </pic:blipFill>
                  <pic:spPr bwMode="auto">
                    <a:xfrm>
                      <a:off x="0" y="0"/>
                      <a:ext cx="5334000" cy="4526786"/>
                    </a:xfrm>
                    <a:prstGeom prst="rect">
                      <a:avLst/>
                    </a:prstGeom>
                    <a:noFill/>
                    <a:ln w="9525">
                      <a:noFill/>
                      <a:headEnd/>
                      <a:tailEnd/>
                    </a:ln>
                  </pic:spPr>
                </pic:pic>
              </a:graphicData>
            </a:graphic>
          </wp:inline>
        </w:drawing>
      </w:r>
    </w:p>
    <w:p>
      <w:pPr>
        <w:pStyle w:val="FirstParagraph"/>
      </w:pPr>
      <w:r>
        <w:t xml:space="preserve">A look at the different possible gamma distribtuions. The matches were determined by the red line.</w:t>
      </w:r>
    </w:p>
    <w:p>
      <w:pPr>
        <w:pStyle w:val="Figure"/>
      </w:pPr>
      <w:r>
        <w:drawing>
          <wp:inline>
            <wp:extent cx="5334000" cy="4526642"/>
            <wp:effectExtent b="0" l="0" r="0" t="0"/>
            <wp:docPr descr="" title="" id="1" name="Picture"/>
            <a:graphic>
              <a:graphicData uri="http://schemas.openxmlformats.org/drawingml/2006/picture">
                <pic:pic>
                  <pic:nvPicPr>
                    <pic:cNvPr descr="C:/Users/dorh012/Documents/hector-SA-npar/methods_check/Dn/Gammas.png" id="0" name="Picture"/>
                    <pic:cNvPicPr>
                      <a:picLocks noChangeArrowheads="1" noChangeAspect="1"/>
                    </pic:cNvPicPr>
                  </pic:nvPicPr>
                  <pic:blipFill>
                    <a:blip r:embed="rId31"/>
                    <a:stretch>
                      <a:fillRect/>
                    </a:stretch>
                  </pic:blipFill>
                  <pic:spPr bwMode="auto">
                    <a:xfrm>
                      <a:off x="0" y="0"/>
                      <a:ext cx="5334000" cy="4526642"/>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a5b1e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afea12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 Metric Practice</dc:title>
  <dc:creator/>
  <dcterms:created xsi:type="dcterms:W3CDTF">2018-05-21T13:51:16Z</dcterms:created>
  <dcterms:modified xsi:type="dcterms:W3CDTF">2018-05-21T13:51:16Z</dcterms:modified>
</cp:coreProperties>
</file>