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C8AE" w14:textId="77777777" w:rsidR="00062D6E" w:rsidRPr="00E81DB5" w:rsidRDefault="00062D6E" w:rsidP="00062D6E">
      <w:pPr>
        <w:ind w:left="360"/>
        <w:jc w:val="both"/>
        <w:rPr>
          <w:rFonts w:ascii="Times New Roman" w:hAnsi="Times New Roman"/>
          <w:b/>
          <w:bCs/>
          <w:sz w:val="22"/>
          <w:szCs w:val="22"/>
        </w:rPr>
      </w:pPr>
      <w:r w:rsidRPr="008936FF">
        <w:rPr>
          <w:rFonts w:ascii="Times New Roman" w:hAnsi="Times New Roman"/>
          <w:b/>
          <w:bCs/>
          <w:sz w:val="22"/>
          <w:szCs w:val="22"/>
          <w:highlight w:val="yellow"/>
        </w:rPr>
        <w:t>Task</w:t>
      </w:r>
      <w:r>
        <w:rPr>
          <w:rFonts w:ascii="Times New Roman" w:hAnsi="Times New Roman"/>
          <w:b/>
          <w:bCs/>
          <w:sz w:val="22"/>
          <w:szCs w:val="22"/>
          <w:highlight w:val="yellow"/>
        </w:rPr>
        <w:t xml:space="preserve"> </w:t>
      </w:r>
      <w:r w:rsidRPr="008936FF">
        <w:rPr>
          <w:rFonts w:ascii="Times New Roman" w:hAnsi="Times New Roman"/>
          <w:b/>
          <w:bCs/>
          <w:sz w:val="22"/>
          <w:szCs w:val="22"/>
          <w:highlight w:val="yellow"/>
        </w:rPr>
        <w:t>4: Socio-economic building energy demand response</w:t>
      </w:r>
    </w:p>
    <w:p w14:paraId="57D6B50B" w14:textId="77777777" w:rsidR="00062D6E" w:rsidRDefault="00062D6E" w:rsidP="00062D6E">
      <w:pPr>
        <w:jc w:val="both"/>
        <w:rPr>
          <w:rFonts w:ascii="Times New Roman" w:eastAsia="Times New Roman" w:hAnsi="Times New Roman"/>
          <w:szCs w:val="24"/>
          <w:highlight w:val="yellow"/>
          <w:lang w:eastAsia="ja-JP"/>
        </w:rPr>
      </w:pPr>
    </w:p>
    <w:p w14:paraId="1E7FCC65" w14:textId="70FFD077" w:rsidR="00062D6E" w:rsidRDefault="00062D6E" w:rsidP="0070017A">
      <w:pPr>
        <w:ind w:firstLine="720"/>
        <w:jc w:val="both"/>
        <w:rPr>
          <w:rFonts w:ascii="Times New Roman" w:eastAsia="Times New Roman" w:hAnsi="Times New Roman"/>
          <w:szCs w:val="24"/>
          <w:lang w:eastAsia="ja-JP"/>
        </w:rPr>
      </w:pPr>
      <w:r>
        <w:rPr>
          <w:rFonts w:ascii="Times New Roman" w:eastAsia="Times New Roman" w:hAnsi="Times New Roman"/>
          <w:szCs w:val="24"/>
          <w:lang w:eastAsia="ja-JP"/>
        </w:rPr>
        <w:t xml:space="preserve">For this experiment we will estimate the changes in building energy response to changes in floorspace and the increased local temperatures in response to the UHI effect from Tasks 1 and 2. We will use the methodology used in the Global Change Analysis Model (GCAM) as documented in several past studies such as </w:t>
      </w:r>
      <w:proofErr w:type="spellStart"/>
      <w:r w:rsidRPr="00DE7723">
        <w:rPr>
          <w:rFonts w:ascii="Times New Roman" w:eastAsia="Times New Roman" w:hAnsi="Times New Roman"/>
          <w:szCs w:val="24"/>
          <w:highlight w:val="yellow"/>
          <w:lang w:eastAsia="ja-JP"/>
        </w:rPr>
        <w:t>Eom</w:t>
      </w:r>
      <w:proofErr w:type="spellEnd"/>
      <w:r w:rsidRPr="00DE7723">
        <w:rPr>
          <w:rFonts w:ascii="Times New Roman" w:eastAsia="Times New Roman" w:hAnsi="Times New Roman"/>
          <w:szCs w:val="24"/>
          <w:highlight w:val="yellow"/>
          <w:lang w:eastAsia="ja-JP"/>
        </w:rPr>
        <w:t xml:space="preserve"> et al., 2012, Zhou et al., 2013, Clarke et al., 2018, and Khan et al. 2020</w:t>
      </w:r>
      <w:r>
        <w:rPr>
          <w:rFonts w:ascii="Times New Roman" w:eastAsia="Times New Roman" w:hAnsi="Times New Roman"/>
          <w:szCs w:val="24"/>
          <w:lang w:eastAsia="ja-JP"/>
        </w:rPr>
        <w:t>. The methodology we will use breaks the building sector</w:t>
      </w:r>
      <w:r w:rsidRPr="00873F27">
        <w:rPr>
          <w:rFonts w:ascii="Times New Roman" w:eastAsia="Times New Roman" w:hAnsi="Times New Roman"/>
          <w:szCs w:val="24"/>
          <w:lang w:eastAsia="ja-JP"/>
        </w:rPr>
        <w:t xml:space="preserve"> in</w:t>
      </w:r>
      <w:r>
        <w:rPr>
          <w:rFonts w:ascii="Times New Roman" w:eastAsia="Times New Roman" w:hAnsi="Times New Roman"/>
          <w:szCs w:val="24"/>
          <w:lang w:eastAsia="ja-JP"/>
        </w:rPr>
        <w:t>to</w:t>
      </w:r>
      <w:r w:rsidRPr="00873F27">
        <w:rPr>
          <w:rFonts w:ascii="Times New Roman" w:eastAsia="Times New Roman" w:hAnsi="Times New Roman"/>
          <w:szCs w:val="24"/>
          <w:lang w:eastAsia="ja-JP"/>
        </w:rPr>
        <w:t xml:space="preserve"> three energy services: heating, cooling, and “other” services</w:t>
      </w:r>
      <w:r>
        <w:rPr>
          <w:rFonts w:ascii="Times New Roman" w:eastAsia="Times New Roman" w:hAnsi="Times New Roman"/>
          <w:szCs w:val="24"/>
          <w:lang w:eastAsia="ja-JP"/>
        </w:rPr>
        <w:t xml:space="preserve">, which fits in well with this study as it allows us to investigate the temperature impacts independently of “other” services such as </w:t>
      </w:r>
      <w:r w:rsidRPr="00C714F0">
        <w:rPr>
          <w:rFonts w:ascii="Times New Roman" w:eastAsia="Times New Roman" w:hAnsi="Times New Roman"/>
          <w:szCs w:val="24"/>
          <w:lang w:eastAsia="ja-JP"/>
        </w:rPr>
        <w:t>cooking, lighting, refrigerators,</w:t>
      </w:r>
      <w:r>
        <w:rPr>
          <w:rFonts w:ascii="Times New Roman" w:eastAsia="Times New Roman" w:hAnsi="Times New Roman"/>
          <w:szCs w:val="24"/>
          <w:lang w:eastAsia="ja-JP"/>
        </w:rPr>
        <w:t xml:space="preserve"> and</w:t>
      </w:r>
      <w:r w:rsidRPr="00C714F0">
        <w:rPr>
          <w:rFonts w:ascii="Times New Roman" w:eastAsia="Times New Roman" w:hAnsi="Times New Roman"/>
          <w:szCs w:val="24"/>
          <w:lang w:eastAsia="ja-JP"/>
        </w:rPr>
        <w:t xml:space="preserve"> televisions</w:t>
      </w:r>
      <w:r>
        <w:rPr>
          <w:rFonts w:ascii="Times New Roman" w:eastAsia="Times New Roman" w:hAnsi="Times New Roman"/>
          <w:szCs w:val="24"/>
          <w:lang w:eastAsia="ja-JP"/>
        </w:rPr>
        <w:t xml:space="preserve">. The building energy demands for heating and cooling per unit of floorspace will be calculated as shown in equations 1 and 2 below, where </w:t>
      </w:r>
      <w:proofErr w:type="spellStart"/>
      <w:r>
        <w:rPr>
          <w:rFonts w:ascii="Times New Roman" w:eastAsia="Times New Roman" w:hAnsi="Times New Roman"/>
          <w:szCs w:val="24"/>
          <w:lang w:eastAsia="ja-JP"/>
        </w:rPr>
        <w:t>d</w:t>
      </w:r>
      <w:r>
        <w:rPr>
          <w:rFonts w:ascii="Times New Roman" w:eastAsia="Times New Roman" w:hAnsi="Times New Roman"/>
          <w:sz w:val="22"/>
          <w:szCs w:val="22"/>
          <w:vertAlign w:val="subscript"/>
          <w:lang w:eastAsia="ja-JP"/>
        </w:rPr>
        <w:t>H</w:t>
      </w:r>
      <w:proofErr w:type="spellEnd"/>
      <w:r>
        <w:rPr>
          <w:rFonts w:ascii="Times New Roman" w:eastAsia="Times New Roman" w:hAnsi="Times New Roman"/>
          <w:sz w:val="22"/>
          <w:szCs w:val="22"/>
          <w:vertAlign w:val="subscript"/>
          <w:lang w:eastAsia="ja-JP"/>
        </w:rPr>
        <w:t xml:space="preserve"> </w:t>
      </w:r>
      <w:r>
        <w:rPr>
          <w:rFonts w:ascii="Times New Roman" w:eastAsia="Times New Roman" w:hAnsi="Times New Roman"/>
          <w:szCs w:val="24"/>
          <w:lang w:eastAsia="ja-JP"/>
        </w:rPr>
        <w:t xml:space="preserve">and </w:t>
      </w:r>
      <w:proofErr w:type="spellStart"/>
      <w:r>
        <w:rPr>
          <w:rFonts w:ascii="Times New Roman" w:eastAsia="Times New Roman" w:hAnsi="Times New Roman"/>
          <w:szCs w:val="24"/>
          <w:lang w:eastAsia="ja-JP"/>
        </w:rPr>
        <w:t>d</w:t>
      </w:r>
      <w:r>
        <w:rPr>
          <w:rFonts w:ascii="Times New Roman" w:eastAsia="Times New Roman" w:hAnsi="Times New Roman"/>
          <w:szCs w:val="24"/>
          <w:vertAlign w:val="subscript"/>
          <w:lang w:eastAsia="ja-JP"/>
        </w:rPr>
        <w:t>C</w:t>
      </w:r>
      <w:proofErr w:type="spellEnd"/>
      <w:r>
        <w:rPr>
          <w:rFonts w:ascii="Times New Roman" w:eastAsia="Times New Roman" w:hAnsi="Times New Roman"/>
          <w:szCs w:val="24"/>
          <w:vertAlign w:val="subscript"/>
          <w:lang w:eastAsia="ja-JP"/>
        </w:rPr>
        <w:t xml:space="preserve"> </w:t>
      </w:r>
      <w:r>
        <w:rPr>
          <w:rFonts w:ascii="Times New Roman" w:eastAsia="Times New Roman" w:hAnsi="Times New Roman"/>
          <w:szCs w:val="24"/>
          <w:lang w:eastAsia="ja-JP"/>
        </w:rPr>
        <w:t xml:space="preserve">represent the energy demands for heating and cooling respectively. Each of these </w:t>
      </w:r>
      <w:r w:rsidRPr="00873F27">
        <w:rPr>
          <w:rFonts w:ascii="Times New Roman" w:eastAsia="Times New Roman" w:hAnsi="Times New Roman"/>
          <w:szCs w:val="24"/>
          <w:lang w:eastAsia="ja-JP"/>
        </w:rPr>
        <w:t xml:space="preserve">equations </w:t>
      </w:r>
      <w:r>
        <w:rPr>
          <w:rFonts w:ascii="Times New Roman" w:eastAsia="Times New Roman" w:hAnsi="Times New Roman"/>
          <w:szCs w:val="24"/>
          <w:lang w:eastAsia="ja-JP"/>
        </w:rPr>
        <w:t xml:space="preserve">can be divided into </w:t>
      </w:r>
      <w:r w:rsidRPr="00873F27">
        <w:rPr>
          <w:rFonts w:ascii="Times New Roman" w:eastAsia="Times New Roman" w:hAnsi="Times New Roman"/>
          <w:szCs w:val="24"/>
          <w:lang w:eastAsia="ja-JP"/>
        </w:rPr>
        <w:t>three components</w:t>
      </w:r>
      <w:r>
        <w:rPr>
          <w:rFonts w:ascii="Times New Roman" w:eastAsia="Times New Roman" w:hAnsi="Times New Roman"/>
          <w:szCs w:val="24"/>
          <w:lang w:eastAsia="ja-JP"/>
        </w:rPr>
        <w:t xml:space="preserve"> shown in different colors in the equations and described subsequently.</w:t>
      </w:r>
    </w:p>
    <w:p w14:paraId="27D11370" w14:textId="77777777" w:rsidR="00062D6E" w:rsidRPr="00345347" w:rsidRDefault="00062D6E" w:rsidP="00062D6E">
      <w:pPr>
        <w:autoSpaceDE w:val="0"/>
        <w:autoSpaceDN w:val="0"/>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6480"/>
        <w:gridCol w:w="1440"/>
      </w:tblGrid>
      <w:tr w:rsidR="00062D6E" w:rsidRPr="00E82E7D" w14:paraId="152ED8A4" w14:textId="77777777" w:rsidTr="00DE7723">
        <w:tc>
          <w:tcPr>
            <w:tcW w:w="1440" w:type="dxa"/>
          </w:tcPr>
          <w:p w14:paraId="1AE373E0" w14:textId="77777777" w:rsidR="00062D6E" w:rsidRPr="00E82E7D" w:rsidRDefault="00062D6E" w:rsidP="00DE7723">
            <w:pPr>
              <w:pStyle w:val="Equation"/>
            </w:pPr>
          </w:p>
        </w:tc>
        <w:tc>
          <w:tcPr>
            <w:tcW w:w="6480" w:type="dxa"/>
          </w:tcPr>
          <w:p w14:paraId="22E11718" w14:textId="77777777" w:rsidR="00062D6E" w:rsidRPr="00E82E7D" w:rsidRDefault="00062D6E" w:rsidP="00DE7723">
            <w:pPr>
              <w:pStyle w:val="Equation"/>
              <w:rPr>
                <w:lang w:val="pt-BR"/>
              </w:rPr>
            </w:pPr>
            <m:oMathPara>
              <m:oMathParaPr>
                <m:jc m:val="center"/>
              </m:oMathParaPr>
              <m:oMath>
                <m:sSub>
                  <m:sSubPr>
                    <m:ctrlPr>
                      <w:rPr>
                        <w:rFonts w:ascii="Cambria Math" w:hAnsi="Cambria Math"/>
                      </w:rPr>
                    </m:ctrlPr>
                  </m:sSubPr>
                  <m:e>
                    <m:r>
                      <m:rPr>
                        <m:nor/>
                      </m:rPr>
                      <w:rPr>
                        <w:rFonts w:ascii="Cambria Math" w:hAnsi="Cambria Math"/>
                        <w:lang w:val="pt-BR"/>
                      </w:rPr>
                      <m:t>d</m:t>
                    </m:r>
                  </m:e>
                  <m:sub>
                    <m:r>
                      <m:rPr>
                        <m:nor/>
                      </m:rPr>
                      <w:rPr>
                        <w:rFonts w:ascii="Cambria Math" w:hAnsi="Cambria Math"/>
                        <w:lang w:val="pt-BR"/>
                      </w:rPr>
                      <m:t>H</m:t>
                    </m:r>
                  </m:sub>
                </m:sSub>
                <m:r>
                  <m:rPr>
                    <m:sty m:val="p"/>
                  </m:rPr>
                  <w:rPr>
                    <w:rFonts w:ascii="Cambria Math" w:hAnsi="Cambria Math"/>
                    <w:lang w:val="pt-BR"/>
                  </w:rPr>
                  <m:t>=</m:t>
                </m:r>
                <m:sSub>
                  <m:sSubPr>
                    <m:ctrlPr>
                      <w:rPr>
                        <w:rFonts w:ascii="Cambria Math" w:hAnsi="Cambria Math"/>
                        <w:color w:val="4472C4" w:themeColor="accent1"/>
                      </w:rPr>
                    </m:ctrlPr>
                  </m:sSubPr>
                  <m:e>
                    <m:r>
                      <m:rPr>
                        <m:sty m:val="p"/>
                      </m:rPr>
                      <w:rPr>
                        <w:rFonts w:ascii="Cambria Math" w:hAnsi="Cambria Math"/>
                        <w:color w:val="4472C4" w:themeColor="accent1"/>
                      </w:rPr>
                      <m:t>k</m:t>
                    </m:r>
                  </m:e>
                  <m:sub>
                    <m:r>
                      <m:rPr>
                        <m:nor/>
                      </m:rPr>
                      <w:rPr>
                        <w:rFonts w:ascii="Cambria Math" w:hAnsi="Cambria Math"/>
                        <w:color w:val="4472C4" w:themeColor="accent1"/>
                        <w:lang w:val="pt-BR"/>
                      </w:rPr>
                      <m:t>H</m:t>
                    </m:r>
                  </m:sub>
                </m:sSub>
                <m:r>
                  <w:rPr>
                    <w:rFonts w:ascii="Cambria Math" w:hAnsi="Cambria Math"/>
                    <w:color w:val="00B0F0"/>
                  </w:rPr>
                  <m:t xml:space="preserve"> </m:t>
                </m:r>
                <m:r>
                  <w:rPr>
                    <w:rFonts w:ascii="Cambria Math" w:hAnsi="Cambria Math"/>
                  </w:rPr>
                  <m:t xml:space="preserve">× </m:t>
                </m:r>
                <m:d>
                  <m:dPr>
                    <m:ctrlPr>
                      <w:rPr>
                        <w:rFonts w:ascii="Cambria Math" w:hAnsi="Cambria Math"/>
                        <w:color w:val="ED7D31" w:themeColor="accent2"/>
                      </w:rPr>
                    </m:ctrlPr>
                  </m:dPr>
                  <m:e>
                    <m:r>
                      <m:rPr>
                        <m:sty m:val="p"/>
                      </m:rPr>
                      <w:rPr>
                        <w:rFonts w:ascii="Cambria Math" w:hAnsi="Cambria Math"/>
                        <w:color w:val="ED7D31" w:themeColor="accent2"/>
                      </w:rPr>
                      <m:t>HD</m:t>
                    </m:r>
                    <m:r>
                      <m:rPr>
                        <m:nor/>
                      </m:rPr>
                      <w:rPr>
                        <w:rFonts w:ascii="Cambria Math" w:hAnsi="Cambria Math"/>
                        <w:color w:val="ED7D31" w:themeColor="accent2"/>
                        <w:lang w:val="pt-BR"/>
                      </w:rPr>
                      <m:t>D</m:t>
                    </m:r>
                    <m:r>
                      <m:rPr>
                        <m:nor/>
                      </m:rPr>
                      <w:rPr>
                        <w:rFonts w:ascii="Cambria Math" w:hAnsi="Cambria Math"/>
                        <w:color w:val="ED7D31" w:themeColor="accent2"/>
                        <w:lang w:val="pt-BR"/>
                      </w:rPr>
                      <m:t>∙</m:t>
                    </m:r>
                    <m:r>
                      <m:rPr>
                        <m:nor/>
                      </m:rPr>
                      <w:rPr>
                        <w:rFonts w:ascii="Cambria Math" w:hAnsi="Cambria Math"/>
                        <w:color w:val="ED7D31" w:themeColor="accent2"/>
                      </w:rPr>
                      <m:t>η</m:t>
                    </m:r>
                    <m:r>
                      <m:rPr>
                        <m:nor/>
                      </m:rPr>
                      <w:rPr>
                        <w:rFonts w:ascii="Cambria Math" w:hAnsi="Cambria Math"/>
                        <w:color w:val="ED7D31" w:themeColor="accent2"/>
                        <w:lang w:val="pt-BR"/>
                      </w:rPr>
                      <m:t>∙</m:t>
                    </m:r>
                    <m:r>
                      <m:rPr>
                        <m:sty m:val="p"/>
                      </m:rPr>
                      <w:rPr>
                        <w:rFonts w:ascii="Cambria Math" w:hAnsi="Cambria Math"/>
                        <w:color w:val="ED7D31" w:themeColor="accent2"/>
                      </w:rPr>
                      <m:t>R</m:t>
                    </m:r>
                    <m:r>
                      <m:rPr>
                        <m:nor/>
                      </m:rPr>
                      <w:rPr>
                        <w:rFonts w:ascii="Cambria Math" w:hAnsi="Cambria Math"/>
                        <w:color w:val="ED7D31" w:themeColor="accent2"/>
                        <w:lang w:val="pt-BR"/>
                      </w:rPr>
                      <m:t xml:space="preserve"> </m:t>
                    </m:r>
                    <m:r>
                      <m:rPr>
                        <m:sty m:val="p"/>
                      </m:rPr>
                      <w:rPr>
                        <w:rFonts w:ascii="Cambria Math" w:hAnsi="Cambria Math"/>
                        <w:color w:val="ED7D31" w:themeColor="accent2"/>
                        <w:lang w:val="pt-BR"/>
                      </w:rPr>
                      <m:t xml:space="preserve">- </m:t>
                    </m:r>
                    <m:r>
                      <m:rPr>
                        <m:sty m:val="p"/>
                      </m:rPr>
                      <w:rPr>
                        <w:rFonts w:ascii="Cambria Math" w:hAnsi="Cambria Math"/>
                        <w:color w:val="ED7D31" w:themeColor="accent2"/>
                      </w:rPr>
                      <m:t>IG</m:t>
                    </m:r>
                  </m:e>
                </m:d>
                <m:r>
                  <w:rPr>
                    <w:rFonts w:ascii="Cambria Math" w:hAnsi="Cambria Math"/>
                  </w:rPr>
                  <m:t xml:space="preserve">× </m:t>
                </m:r>
                <m:d>
                  <m:dPr>
                    <m:begChr m:val="["/>
                    <m:endChr m:val="]"/>
                    <m:ctrlPr>
                      <w:rPr>
                        <w:rFonts w:ascii="Cambria Math" w:hAnsi="Cambria Math"/>
                        <w:color w:val="7030A0"/>
                      </w:rPr>
                    </m:ctrlPr>
                  </m:dPr>
                  <m:e>
                    <m:r>
                      <m:rPr>
                        <m:sty m:val="p"/>
                      </m:rPr>
                      <w:rPr>
                        <w:rFonts w:ascii="Cambria Math" w:hAnsi="Cambria Math"/>
                        <w:color w:val="7030A0"/>
                        <w:lang w:val="pt-BR"/>
                      </w:rPr>
                      <m:t>1-</m:t>
                    </m:r>
                    <m:r>
                      <m:rPr>
                        <m:sty m:val="p"/>
                      </m:rPr>
                      <w:rPr>
                        <w:rFonts w:ascii="Cambria Math" w:hAnsi="Cambria Math"/>
                        <w:color w:val="7030A0"/>
                      </w:rPr>
                      <m:t>exp</m:t>
                    </m:r>
                    <m:d>
                      <m:dPr>
                        <m:ctrlPr>
                          <w:rPr>
                            <w:rFonts w:ascii="Cambria Math" w:hAnsi="Cambria Math"/>
                            <w:color w:val="7030A0"/>
                          </w:rPr>
                        </m:ctrlPr>
                      </m:dPr>
                      <m:e>
                        <m:r>
                          <m:rPr>
                            <m:sty m:val="p"/>
                          </m:rPr>
                          <w:rPr>
                            <w:rFonts w:ascii="Cambria Math" w:hAnsi="Cambria Math"/>
                            <w:color w:val="7030A0"/>
                            <w:lang w:val="pt-BR"/>
                          </w:rPr>
                          <m:t>-</m:t>
                        </m:r>
                        <m:f>
                          <m:fPr>
                            <m:ctrlPr>
                              <w:rPr>
                                <w:rFonts w:ascii="Cambria Math" w:hAnsi="Cambria Math"/>
                                <w:color w:val="7030A0"/>
                              </w:rPr>
                            </m:ctrlPr>
                          </m:fPr>
                          <m:num>
                            <m:func>
                              <m:funcPr>
                                <m:ctrlPr>
                                  <w:rPr>
                                    <w:rFonts w:ascii="Cambria Math" w:hAnsi="Cambria Math"/>
                                    <w:color w:val="7030A0"/>
                                  </w:rPr>
                                </m:ctrlPr>
                              </m:funcPr>
                              <m:fName>
                                <m:r>
                                  <m:rPr>
                                    <m:sty m:val="p"/>
                                  </m:rPr>
                                  <w:rPr>
                                    <w:rFonts w:ascii="Cambria Math" w:hAnsi="Cambria Math"/>
                                    <w:color w:val="7030A0"/>
                                    <w:lang w:val="pt-BR"/>
                                  </w:rPr>
                                  <m:t>ln</m:t>
                                </m:r>
                              </m:fName>
                              <m:e>
                                <m:r>
                                  <m:rPr>
                                    <m:sty m:val="p"/>
                                  </m:rPr>
                                  <w:rPr>
                                    <w:rFonts w:ascii="Cambria Math" w:hAnsi="Cambria Math"/>
                                    <w:color w:val="7030A0"/>
                                    <w:lang w:val="pt-BR"/>
                                  </w:rPr>
                                  <m:t>2</m:t>
                                </m:r>
                              </m:e>
                            </m:func>
                          </m:num>
                          <m:den>
                            <m:sSub>
                              <m:sSubPr>
                                <m:ctrlPr>
                                  <w:rPr>
                                    <w:rFonts w:ascii="Cambria Math" w:hAnsi="Cambria Math"/>
                                    <w:color w:val="7030A0"/>
                                  </w:rPr>
                                </m:ctrlPr>
                              </m:sSubPr>
                              <m:e>
                                <m:r>
                                  <m:rPr>
                                    <m:sty m:val="p"/>
                                  </m:rPr>
                                  <w:rPr>
                                    <w:rFonts w:ascii="Cambria Math" w:hAnsi="Cambria Math"/>
                                    <w:color w:val="7030A0"/>
                                  </w:rPr>
                                  <m:t>μ</m:t>
                                </m:r>
                              </m:e>
                              <m:sub>
                                <m:r>
                                  <m:rPr>
                                    <m:nor/>
                                  </m:rPr>
                                  <w:rPr>
                                    <w:rFonts w:ascii="Cambria Math" w:hAnsi="Cambria Math"/>
                                    <w:color w:val="7030A0"/>
                                    <w:lang w:val="pt-BR"/>
                                  </w:rPr>
                                  <m:t>H</m:t>
                                </m:r>
                              </m:sub>
                            </m:sSub>
                          </m:den>
                        </m:f>
                        <m:f>
                          <m:fPr>
                            <m:ctrlPr>
                              <w:rPr>
                                <w:rFonts w:ascii="Cambria Math" w:hAnsi="Cambria Math"/>
                                <w:color w:val="7030A0"/>
                              </w:rPr>
                            </m:ctrlPr>
                          </m:fPr>
                          <m:num>
                            <m:r>
                              <m:rPr>
                                <m:sty m:val="p"/>
                              </m:rPr>
                              <w:rPr>
                                <w:rFonts w:ascii="Cambria Math" w:hAnsi="Cambria Math"/>
                                <w:color w:val="7030A0"/>
                              </w:rPr>
                              <m:t>i</m:t>
                            </m:r>
                          </m:num>
                          <m:den>
                            <m:sSub>
                              <m:sSubPr>
                                <m:ctrlPr>
                                  <w:rPr>
                                    <w:rFonts w:ascii="Cambria Math" w:hAnsi="Cambria Math"/>
                                    <w:color w:val="7030A0"/>
                                  </w:rPr>
                                </m:ctrlPr>
                              </m:sSubPr>
                              <m:e>
                                <m:r>
                                  <m:rPr>
                                    <m:sty m:val="p"/>
                                  </m:rPr>
                                  <w:rPr>
                                    <w:rFonts w:ascii="Cambria Math" w:hAnsi="Cambria Math"/>
                                    <w:color w:val="7030A0"/>
                                  </w:rPr>
                                  <m:t>P</m:t>
                                </m:r>
                              </m:e>
                              <m:sub>
                                <m:r>
                                  <m:rPr>
                                    <m:nor/>
                                  </m:rPr>
                                  <w:rPr>
                                    <w:rFonts w:ascii="Cambria Math" w:hAnsi="Cambria Math"/>
                                    <w:color w:val="7030A0"/>
                                    <w:lang w:val="pt-BR"/>
                                  </w:rPr>
                                  <m:t>H</m:t>
                                </m:r>
                              </m:sub>
                            </m:sSub>
                          </m:den>
                        </m:f>
                      </m:e>
                    </m:d>
                  </m:e>
                </m:d>
              </m:oMath>
            </m:oMathPara>
          </w:p>
        </w:tc>
        <w:tc>
          <w:tcPr>
            <w:tcW w:w="1440" w:type="dxa"/>
          </w:tcPr>
          <w:p w14:paraId="303FA878" w14:textId="77777777" w:rsidR="00062D6E" w:rsidRPr="00CD4B8A" w:rsidRDefault="00062D6E" w:rsidP="00DE7723">
            <w:pPr>
              <w:pStyle w:val="Equation"/>
              <w:jc w:val="right"/>
            </w:pPr>
            <w:bookmarkStart w:id="0" w:name="_Ref29977691"/>
            <w:bookmarkStart w:id="1" w:name="_Ref29977517"/>
            <w:r w:rsidRPr="00CD4B8A">
              <w:rPr>
                <w:color w:val="44546A" w:themeColor="text2"/>
              </w:rPr>
              <w:t>(</w:t>
            </w:r>
            <w:r w:rsidRPr="00CD4B8A">
              <w:rPr>
                <w:color w:val="44546A" w:themeColor="text2"/>
              </w:rPr>
              <w:fldChar w:fldCharType="begin"/>
            </w:r>
            <w:r w:rsidRPr="00E82E7D">
              <w:rPr>
                <w:color w:val="44546A" w:themeColor="text2"/>
              </w:rPr>
              <w:instrText xml:space="preserve"> SEQ Equation \* ARABIC </w:instrText>
            </w:r>
            <w:r w:rsidRPr="00CD4B8A">
              <w:rPr>
                <w:color w:val="44546A" w:themeColor="text2"/>
              </w:rPr>
              <w:fldChar w:fldCharType="separate"/>
            </w:r>
            <w:r>
              <w:rPr>
                <w:noProof/>
                <w:color w:val="44546A" w:themeColor="text2"/>
              </w:rPr>
              <w:t>1</w:t>
            </w:r>
            <w:r w:rsidRPr="00CD4B8A">
              <w:rPr>
                <w:color w:val="44546A" w:themeColor="text2"/>
              </w:rPr>
              <w:fldChar w:fldCharType="end"/>
            </w:r>
            <w:bookmarkStart w:id="2" w:name="_Ref29977699"/>
            <w:bookmarkEnd w:id="0"/>
            <w:r w:rsidRPr="00E82E7D">
              <w:rPr>
                <w:color w:val="44546A" w:themeColor="text2"/>
              </w:rPr>
              <w:t>)</w:t>
            </w:r>
            <w:bookmarkEnd w:id="1"/>
            <w:bookmarkEnd w:id="2"/>
          </w:p>
        </w:tc>
      </w:tr>
      <w:tr w:rsidR="00062D6E" w:rsidRPr="00E82E7D" w14:paraId="6BD8E7B3" w14:textId="77777777" w:rsidTr="00DE7723">
        <w:tc>
          <w:tcPr>
            <w:tcW w:w="1440" w:type="dxa"/>
          </w:tcPr>
          <w:p w14:paraId="4139C546" w14:textId="77777777" w:rsidR="00062D6E" w:rsidRPr="00E82E7D" w:rsidRDefault="00062D6E" w:rsidP="00DE7723">
            <w:pPr>
              <w:pStyle w:val="Equation"/>
            </w:pPr>
          </w:p>
        </w:tc>
        <w:tc>
          <w:tcPr>
            <w:tcW w:w="6480" w:type="dxa"/>
          </w:tcPr>
          <w:p w14:paraId="6051E306" w14:textId="77777777" w:rsidR="00062D6E" w:rsidRPr="00DE7723" w:rsidRDefault="00062D6E" w:rsidP="00DE7723">
            <w:pPr>
              <w:pStyle w:val="Equation"/>
              <w:rPr>
                <w:lang w:val="es-ES"/>
              </w:rPr>
            </w:pPr>
            <m:oMathPara>
              <m:oMathParaPr>
                <m:jc m:val="center"/>
              </m:oMathParaPr>
              <m:oMath>
                <m:sSub>
                  <m:sSubPr>
                    <m:ctrlPr>
                      <w:rPr>
                        <w:rFonts w:ascii="Cambria Math" w:hAnsi="Cambria Math"/>
                      </w:rPr>
                    </m:ctrlPr>
                  </m:sSubPr>
                  <m:e>
                    <m:r>
                      <m:rPr>
                        <m:nor/>
                      </m:rPr>
                      <w:rPr>
                        <w:rFonts w:ascii="Cambria Math" w:hAnsi="Cambria Math"/>
                        <w:lang w:val="es-ES"/>
                      </w:rPr>
                      <m:t>d</m:t>
                    </m:r>
                  </m:e>
                  <m:sub>
                    <m:r>
                      <m:rPr>
                        <m:nor/>
                      </m:rPr>
                      <w:rPr>
                        <w:rFonts w:ascii="Cambria Math" w:hAnsi="Cambria Math"/>
                        <w:lang w:val="es-ES"/>
                      </w:rPr>
                      <m:t>C</m:t>
                    </m:r>
                  </m:sub>
                </m:sSub>
                <m:r>
                  <m:rPr>
                    <m:sty m:val="p"/>
                  </m:rPr>
                  <w:rPr>
                    <w:rFonts w:ascii="Cambria Math" w:hAnsi="Cambria Math"/>
                    <w:lang w:val="es-ES"/>
                  </w:rPr>
                  <m:t>=</m:t>
                </m:r>
                <m:sSub>
                  <m:sSubPr>
                    <m:ctrlPr>
                      <w:rPr>
                        <w:rFonts w:ascii="Cambria Math" w:hAnsi="Cambria Math"/>
                        <w:color w:val="4472C4" w:themeColor="accent1"/>
                      </w:rPr>
                    </m:ctrlPr>
                  </m:sSubPr>
                  <m:e>
                    <m:r>
                      <m:rPr>
                        <m:sty m:val="p"/>
                      </m:rPr>
                      <w:rPr>
                        <w:rFonts w:ascii="Cambria Math" w:hAnsi="Cambria Math"/>
                        <w:color w:val="4472C4" w:themeColor="accent1"/>
                        <w:lang w:val="es-ES"/>
                      </w:rPr>
                      <m:t>k</m:t>
                    </m:r>
                  </m:e>
                  <m:sub>
                    <m:r>
                      <m:rPr>
                        <m:nor/>
                      </m:rPr>
                      <w:rPr>
                        <w:rFonts w:ascii="Cambria Math" w:hAnsi="Cambria Math"/>
                        <w:color w:val="4472C4" w:themeColor="accent1"/>
                        <w:lang w:val="es-ES"/>
                      </w:rPr>
                      <m:t>C</m:t>
                    </m:r>
                  </m:sub>
                </m:sSub>
                <m:r>
                  <w:rPr>
                    <w:rFonts w:ascii="Cambria Math" w:hAnsi="Cambria Math"/>
                    <w:lang w:val="es-ES"/>
                  </w:rPr>
                  <m:t xml:space="preserve"> × </m:t>
                </m:r>
                <m:d>
                  <m:dPr>
                    <m:ctrlPr>
                      <w:rPr>
                        <w:rFonts w:ascii="Cambria Math" w:hAnsi="Cambria Math"/>
                        <w:color w:val="ED7D31" w:themeColor="accent2"/>
                      </w:rPr>
                    </m:ctrlPr>
                  </m:dPr>
                  <m:e>
                    <m:r>
                      <m:rPr>
                        <m:nor/>
                      </m:rPr>
                      <w:rPr>
                        <w:rFonts w:ascii="Cambria Math" w:hAnsi="Cambria Math"/>
                        <w:color w:val="ED7D31" w:themeColor="accent2"/>
                        <w:lang w:val="es-ES"/>
                      </w:rPr>
                      <m:t>C</m:t>
                    </m:r>
                    <m:r>
                      <m:rPr>
                        <m:sty m:val="p"/>
                      </m:rPr>
                      <w:rPr>
                        <w:rFonts w:ascii="Cambria Math" w:hAnsi="Cambria Math"/>
                        <w:color w:val="ED7D31" w:themeColor="accent2"/>
                        <w:lang w:val="es-ES"/>
                      </w:rPr>
                      <m:t>D</m:t>
                    </m:r>
                    <m:r>
                      <m:rPr>
                        <m:nor/>
                      </m:rPr>
                      <w:rPr>
                        <w:rFonts w:ascii="Cambria Math" w:hAnsi="Cambria Math"/>
                        <w:color w:val="ED7D31" w:themeColor="accent2"/>
                        <w:lang w:val="es-ES"/>
                      </w:rPr>
                      <m:t>D∙</m:t>
                    </m:r>
                    <m:r>
                      <m:rPr>
                        <m:nor/>
                      </m:rPr>
                      <w:rPr>
                        <w:rFonts w:ascii="Cambria Math" w:hAnsi="Cambria Math"/>
                        <w:color w:val="ED7D31" w:themeColor="accent2"/>
                      </w:rPr>
                      <m:t>η</m:t>
                    </m:r>
                    <m:r>
                      <m:rPr>
                        <m:nor/>
                      </m:rPr>
                      <w:rPr>
                        <w:rFonts w:ascii="Cambria Math" w:hAnsi="Cambria Math"/>
                        <w:color w:val="ED7D31" w:themeColor="accent2"/>
                        <w:lang w:val="es-ES"/>
                      </w:rPr>
                      <m:t>∙</m:t>
                    </m:r>
                    <m:r>
                      <m:rPr>
                        <m:sty m:val="p"/>
                      </m:rPr>
                      <w:rPr>
                        <w:rFonts w:ascii="Cambria Math" w:hAnsi="Cambria Math"/>
                        <w:color w:val="ED7D31" w:themeColor="accent2"/>
                        <w:lang w:val="es-ES"/>
                      </w:rPr>
                      <m:t>R</m:t>
                    </m:r>
                    <m:r>
                      <m:rPr>
                        <m:nor/>
                      </m:rPr>
                      <w:rPr>
                        <w:rFonts w:ascii="Cambria Math" w:hAnsi="Cambria Math"/>
                        <w:color w:val="ED7D31" w:themeColor="accent2"/>
                        <w:lang w:val="es-ES"/>
                      </w:rPr>
                      <m:t xml:space="preserve"> </m:t>
                    </m:r>
                    <m:r>
                      <m:rPr>
                        <m:sty m:val="p"/>
                      </m:rPr>
                      <w:rPr>
                        <w:rFonts w:ascii="Cambria Math" w:hAnsi="Cambria Math"/>
                        <w:color w:val="ED7D31" w:themeColor="accent2"/>
                        <w:lang w:val="es-ES"/>
                      </w:rPr>
                      <m:t>- IG</m:t>
                    </m:r>
                  </m:e>
                </m:d>
                <m:r>
                  <w:rPr>
                    <w:rFonts w:ascii="Cambria Math" w:hAnsi="Cambria Math"/>
                    <w:lang w:val="es-ES"/>
                  </w:rPr>
                  <m:t xml:space="preserve"> × </m:t>
                </m:r>
                <m:d>
                  <m:dPr>
                    <m:begChr m:val="["/>
                    <m:endChr m:val="]"/>
                    <m:ctrlPr>
                      <w:rPr>
                        <w:rFonts w:ascii="Cambria Math" w:hAnsi="Cambria Math"/>
                        <w:color w:val="7030A0"/>
                      </w:rPr>
                    </m:ctrlPr>
                  </m:dPr>
                  <m:e>
                    <m:r>
                      <m:rPr>
                        <m:sty m:val="p"/>
                      </m:rPr>
                      <w:rPr>
                        <w:rFonts w:ascii="Cambria Math" w:hAnsi="Cambria Math"/>
                        <w:color w:val="7030A0"/>
                        <w:lang w:val="es-ES"/>
                      </w:rPr>
                      <m:t>1-exp</m:t>
                    </m:r>
                    <m:d>
                      <m:dPr>
                        <m:ctrlPr>
                          <w:rPr>
                            <w:rFonts w:ascii="Cambria Math" w:hAnsi="Cambria Math"/>
                            <w:color w:val="7030A0"/>
                          </w:rPr>
                        </m:ctrlPr>
                      </m:dPr>
                      <m:e>
                        <m:r>
                          <m:rPr>
                            <m:sty m:val="p"/>
                          </m:rPr>
                          <w:rPr>
                            <w:rFonts w:ascii="Cambria Math" w:hAnsi="Cambria Math"/>
                            <w:color w:val="7030A0"/>
                            <w:lang w:val="es-ES"/>
                          </w:rPr>
                          <m:t>-</m:t>
                        </m:r>
                        <m:f>
                          <m:fPr>
                            <m:ctrlPr>
                              <w:rPr>
                                <w:rFonts w:ascii="Cambria Math" w:hAnsi="Cambria Math"/>
                                <w:color w:val="7030A0"/>
                              </w:rPr>
                            </m:ctrlPr>
                          </m:fPr>
                          <m:num>
                            <m:func>
                              <m:funcPr>
                                <m:ctrlPr>
                                  <w:rPr>
                                    <w:rFonts w:ascii="Cambria Math" w:hAnsi="Cambria Math"/>
                                    <w:color w:val="7030A0"/>
                                  </w:rPr>
                                </m:ctrlPr>
                              </m:funcPr>
                              <m:fName>
                                <m:r>
                                  <m:rPr>
                                    <m:sty m:val="p"/>
                                  </m:rPr>
                                  <w:rPr>
                                    <w:rFonts w:ascii="Cambria Math" w:hAnsi="Cambria Math"/>
                                    <w:color w:val="7030A0"/>
                                    <w:lang w:val="es-ES"/>
                                  </w:rPr>
                                  <m:t>ln</m:t>
                                </m:r>
                              </m:fName>
                              <m:e>
                                <m:r>
                                  <m:rPr>
                                    <m:sty m:val="p"/>
                                  </m:rPr>
                                  <w:rPr>
                                    <w:rFonts w:ascii="Cambria Math" w:hAnsi="Cambria Math"/>
                                    <w:color w:val="7030A0"/>
                                    <w:lang w:val="es-ES"/>
                                  </w:rPr>
                                  <m:t>2</m:t>
                                </m:r>
                              </m:e>
                            </m:func>
                          </m:num>
                          <m:den>
                            <m:sSub>
                              <m:sSubPr>
                                <m:ctrlPr>
                                  <w:rPr>
                                    <w:rFonts w:ascii="Cambria Math" w:hAnsi="Cambria Math"/>
                                    <w:color w:val="7030A0"/>
                                  </w:rPr>
                                </m:ctrlPr>
                              </m:sSubPr>
                              <m:e>
                                <m:r>
                                  <m:rPr>
                                    <m:sty m:val="p"/>
                                  </m:rPr>
                                  <w:rPr>
                                    <w:rFonts w:ascii="Cambria Math" w:hAnsi="Cambria Math"/>
                                    <w:color w:val="7030A0"/>
                                  </w:rPr>
                                  <m:t>μ</m:t>
                                </m:r>
                              </m:e>
                              <m:sub>
                                <m:r>
                                  <m:rPr>
                                    <m:nor/>
                                  </m:rPr>
                                  <w:rPr>
                                    <w:rFonts w:ascii="Cambria Math" w:hAnsi="Cambria Math"/>
                                    <w:color w:val="7030A0"/>
                                    <w:lang w:val="es-ES"/>
                                  </w:rPr>
                                  <m:t>C</m:t>
                                </m:r>
                              </m:sub>
                            </m:sSub>
                          </m:den>
                        </m:f>
                        <m:f>
                          <m:fPr>
                            <m:ctrlPr>
                              <w:rPr>
                                <w:rFonts w:ascii="Cambria Math" w:hAnsi="Cambria Math"/>
                                <w:color w:val="7030A0"/>
                              </w:rPr>
                            </m:ctrlPr>
                          </m:fPr>
                          <m:num>
                            <m:r>
                              <m:rPr>
                                <m:sty m:val="p"/>
                              </m:rPr>
                              <w:rPr>
                                <w:rFonts w:ascii="Cambria Math" w:hAnsi="Cambria Math"/>
                                <w:color w:val="7030A0"/>
                                <w:lang w:val="es-ES"/>
                              </w:rPr>
                              <m:t>i</m:t>
                            </m:r>
                          </m:num>
                          <m:den>
                            <m:sSub>
                              <m:sSubPr>
                                <m:ctrlPr>
                                  <w:rPr>
                                    <w:rFonts w:ascii="Cambria Math" w:hAnsi="Cambria Math"/>
                                    <w:color w:val="7030A0"/>
                                  </w:rPr>
                                </m:ctrlPr>
                              </m:sSubPr>
                              <m:e>
                                <m:r>
                                  <m:rPr>
                                    <m:sty m:val="p"/>
                                  </m:rPr>
                                  <w:rPr>
                                    <w:rFonts w:ascii="Cambria Math" w:hAnsi="Cambria Math"/>
                                    <w:color w:val="7030A0"/>
                                    <w:lang w:val="es-ES"/>
                                  </w:rPr>
                                  <m:t>P</m:t>
                                </m:r>
                              </m:e>
                              <m:sub>
                                <m:r>
                                  <m:rPr>
                                    <m:nor/>
                                  </m:rPr>
                                  <w:rPr>
                                    <w:rFonts w:ascii="Cambria Math" w:hAnsi="Cambria Math"/>
                                    <w:color w:val="7030A0"/>
                                    <w:lang w:val="es-ES"/>
                                  </w:rPr>
                                  <m:t>C</m:t>
                                </m:r>
                              </m:sub>
                            </m:sSub>
                          </m:den>
                        </m:f>
                      </m:e>
                    </m:d>
                  </m:e>
                </m:d>
              </m:oMath>
            </m:oMathPara>
          </w:p>
        </w:tc>
        <w:tc>
          <w:tcPr>
            <w:tcW w:w="1440" w:type="dxa"/>
          </w:tcPr>
          <w:p w14:paraId="407F39CB" w14:textId="77777777" w:rsidR="00062D6E" w:rsidRPr="00CD4B8A" w:rsidRDefault="00062D6E" w:rsidP="00DE7723">
            <w:pPr>
              <w:pStyle w:val="Equation"/>
              <w:jc w:val="right"/>
            </w:pPr>
            <w:bookmarkStart w:id="3" w:name="_Ref29978744"/>
            <w:bookmarkStart w:id="4" w:name="_Ref29978748"/>
            <w:r w:rsidRPr="00CD4B8A">
              <w:rPr>
                <w:color w:val="44546A" w:themeColor="text2"/>
              </w:rPr>
              <w:t>(</w:t>
            </w:r>
            <w:r w:rsidRPr="00CD4B8A">
              <w:rPr>
                <w:color w:val="44546A" w:themeColor="text2"/>
              </w:rPr>
              <w:fldChar w:fldCharType="begin"/>
            </w:r>
            <w:r w:rsidRPr="00E82E7D">
              <w:rPr>
                <w:color w:val="44546A" w:themeColor="text2"/>
              </w:rPr>
              <w:instrText xml:space="preserve"> SEQ Equation \* ARABIC </w:instrText>
            </w:r>
            <w:r w:rsidRPr="00CD4B8A">
              <w:rPr>
                <w:color w:val="44546A" w:themeColor="text2"/>
              </w:rPr>
              <w:fldChar w:fldCharType="separate"/>
            </w:r>
            <w:r>
              <w:rPr>
                <w:noProof/>
                <w:color w:val="44546A" w:themeColor="text2"/>
              </w:rPr>
              <w:t>2</w:t>
            </w:r>
            <w:r w:rsidRPr="00CD4B8A">
              <w:rPr>
                <w:color w:val="44546A" w:themeColor="text2"/>
              </w:rPr>
              <w:fldChar w:fldCharType="end"/>
            </w:r>
            <w:bookmarkStart w:id="5" w:name="_Ref29978738"/>
            <w:bookmarkEnd w:id="3"/>
            <w:r w:rsidRPr="00E82E7D">
              <w:rPr>
                <w:color w:val="44546A" w:themeColor="text2"/>
              </w:rPr>
              <w:t>)</w:t>
            </w:r>
            <w:bookmarkEnd w:id="4"/>
            <w:bookmarkEnd w:id="5"/>
          </w:p>
        </w:tc>
      </w:tr>
    </w:tbl>
    <w:p w14:paraId="7B3DBEC0" w14:textId="77777777" w:rsidR="00062D6E" w:rsidRPr="00E82E7D" w:rsidRDefault="00062D6E" w:rsidP="00062D6E">
      <w:pPr>
        <w:pStyle w:val="wherestatement"/>
        <w:spacing w:before="240"/>
      </w:pPr>
      <w:r w:rsidRPr="00E82E7D">
        <w:t>where</w:t>
      </w:r>
      <w:r w:rsidRPr="00E82E7D">
        <w:tab/>
      </w:r>
      <m:oMath>
        <m:r>
          <m:rPr>
            <m:nor/>
          </m:rPr>
          <w:rPr>
            <w:rFonts w:ascii="Cambria Math" w:hAnsi="Cambria Math"/>
          </w:rPr>
          <m:t>H</m:t>
        </m:r>
      </m:oMath>
      <w:r w:rsidRPr="00E82E7D">
        <w:tab/>
        <w:t>=</w:t>
      </w:r>
      <w:r w:rsidRPr="00E82E7D">
        <w:tab/>
        <w:t>Heating</w:t>
      </w:r>
    </w:p>
    <w:p w14:paraId="0ACBCE5B" w14:textId="77777777" w:rsidR="00062D6E" w:rsidRPr="00E82E7D" w:rsidRDefault="00062D6E" w:rsidP="00062D6E">
      <w:pPr>
        <w:pStyle w:val="wherestatement"/>
      </w:pPr>
      <w:r w:rsidRPr="00E82E7D">
        <w:tab/>
      </w:r>
      <m:oMath>
        <m:r>
          <m:rPr>
            <m:nor/>
          </m:rPr>
          <w:rPr>
            <w:rFonts w:ascii="Cambria Math" w:hAnsi="Cambria Math"/>
          </w:rPr>
          <m:t>C</m:t>
        </m:r>
      </m:oMath>
      <w:r w:rsidRPr="00E82E7D">
        <w:tab/>
        <w:t>=</w:t>
      </w:r>
      <w:r w:rsidRPr="00E82E7D">
        <w:tab/>
        <w:t>Cooling</w:t>
      </w:r>
    </w:p>
    <w:p w14:paraId="47B81D40" w14:textId="77777777" w:rsidR="00062D6E" w:rsidRPr="00E82E7D" w:rsidRDefault="00062D6E" w:rsidP="00062D6E">
      <w:pPr>
        <w:pStyle w:val="wherestatement"/>
      </w:pPr>
      <w:r w:rsidRPr="00E82E7D">
        <w:tab/>
      </w:r>
      <m:oMath>
        <m:r>
          <m:rPr>
            <m:nor/>
          </m:rPr>
          <w:rPr>
            <w:rFonts w:ascii="Cambria Math" w:hAnsi="Cambria Math"/>
          </w:rPr>
          <m:t>d</m:t>
        </m:r>
      </m:oMath>
      <w:r w:rsidRPr="00E82E7D">
        <w:tab/>
        <w:t>=</w:t>
      </w:r>
      <w:r w:rsidRPr="00E82E7D">
        <w:tab/>
        <w:t>Energy demand per unit of floorspace (GJ/m</w:t>
      </w:r>
      <w:r w:rsidRPr="00E82E7D">
        <w:rPr>
          <w:vertAlign w:val="superscript"/>
        </w:rPr>
        <w:t>2</w:t>
      </w:r>
      <w:r w:rsidRPr="00E82E7D">
        <w:t>)</w:t>
      </w:r>
    </w:p>
    <w:p w14:paraId="7D46EFD2" w14:textId="77777777" w:rsidR="00062D6E" w:rsidRPr="00E82E7D" w:rsidRDefault="00062D6E" w:rsidP="00062D6E">
      <w:pPr>
        <w:pStyle w:val="wherestatement"/>
      </w:pPr>
      <w:r w:rsidRPr="00E82E7D">
        <w:tab/>
      </w:r>
      <m:oMath>
        <m:r>
          <m:rPr>
            <m:sty m:val="p"/>
          </m:rPr>
          <w:rPr>
            <w:rFonts w:ascii="Cambria Math" w:hAnsi="Cambria Math"/>
          </w:rPr>
          <m:t>k</m:t>
        </m:r>
      </m:oMath>
      <w:r w:rsidRPr="00E82E7D">
        <w:tab/>
        <w:t>=</w:t>
      </w:r>
      <w:r w:rsidRPr="00E82E7D">
        <w:tab/>
        <w:t>Unitless calibration coefficient</w:t>
      </w:r>
    </w:p>
    <w:p w14:paraId="256B47BF" w14:textId="77777777" w:rsidR="00062D6E" w:rsidRPr="00E82E7D" w:rsidRDefault="00062D6E" w:rsidP="00062D6E">
      <w:pPr>
        <w:pStyle w:val="wherestatement"/>
      </w:pPr>
      <w:r w:rsidRPr="00E82E7D">
        <w:tab/>
      </w:r>
      <m:oMath>
        <m:r>
          <m:rPr>
            <m:nor/>
          </m:rPr>
          <w:rPr>
            <w:rFonts w:ascii="Cambria Math" w:hAnsi="Cambria Math"/>
          </w:rPr>
          <m:t>HDD</m:t>
        </m:r>
      </m:oMath>
      <w:r w:rsidRPr="00E82E7D">
        <w:tab/>
        <w:t>=</w:t>
      </w:r>
      <w:r w:rsidRPr="00E82E7D">
        <w:tab/>
        <w:t>Heating degree hours (hour °C)</w:t>
      </w:r>
    </w:p>
    <w:p w14:paraId="1FAC38FD" w14:textId="77777777" w:rsidR="00062D6E" w:rsidRPr="00E82E7D" w:rsidRDefault="00062D6E" w:rsidP="00062D6E">
      <w:pPr>
        <w:pStyle w:val="wherestatement"/>
      </w:pPr>
      <w:r w:rsidRPr="00E82E7D">
        <w:tab/>
      </w:r>
      <m:oMath>
        <m:r>
          <m:rPr>
            <m:nor/>
          </m:rPr>
          <w:rPr>
            <w:rFonts w:ascii="Cambria Math" w:hAnsi="Cambria Math"/>
          </w:rPr>
          <m:t>CDD</m:t>
        </m:r>
      </m:oMath>
      <w:r w:rsidRPr="00E82E7D">
        <w:tab/>
        <w:t>=</w:t>
      </w:r>
      <w:r w:rsidRPr="00E82E7D">
        <w:tab/>
        <w:t>Cooling degree hours (hour °C)</w:t>
      </w:r>
    </w:p>
    <w:p w14:paraId="2D130A24" w14:textId="77777777" w:rsidR="00062D6E" w:rsidRPr="00E82E7D" w:rsidRDefault="00062D6E" w:rsidP="00062D6E">
      <w:pPr>
        <w:pStyle w:val="wherestatement"/>
      </w:pPr>
      <w:r w:rsidRPr="00E82E7D">
        <w:tab/>
      </w:r>
      <m:oMath>
        <m:r>
          <m:rPr>
            <m:nor/>
          </m:rPr>
          <w:rPr>
            <w:rFonts w:ascii="Cambria Math" w:hAnsi="Cambria Math"/>
          </w:rPr>
          <m:t>η</m:t>
        </m:r>
      </m:oMath>
      <w:r w:rsidRPr="00E82E7D">
        <w:tab/>
        <w:t>=</w:t>
      </w:r>
      <w:r w:rsidRPr="00E82E7D">
        <w:tab/>
        <w:t>Thermal conductance (GJ/m</w:t>
      </w:r>
      <w:r w:rsidRPr="00E82E7D">
        <w:rPr>
          <w:vertAlign w:val="superscript"/>
        </w:rPr>
        <w:t>2</w:t>
      </w:r>
      <w:r w:rsidRPr="00E82E7D">
        <w:t xml:space="preserve"> hour °C)</w:t>
      </w:r>
    </w:p>
    <w:p w14:paraId="4E78E4D0" w14:textId="77777777" w:rsidR="00062D6E" w:rsidRPr="00E82E7D" w:rsidRDefault="00062D6E" w:rsidP="00062D6E">
      <w:pPr>
        <w:pStyle w:val="wherestatement"/>
      </w:pPr>
      <w:r w:rsidRPr="00E82E7D">
        <w:tab/>
      </w:r>
      <m:oMath>
        <m:r>
          <m:rPr>
            <m:sty m:val="p"/>
          </m:rPr>
          <w:rPr>
            <w:rFonts w:ascii="Cambria Math" w:hAnsi="Cambria Math"/>
          </w:rPr>
          <m:t>R</m:t>
        </m:r>
      </m:oMath>
      <w:r w:rsidRPr="00E82E7D">
        <w:tab/>
        <w:t>=</w:t>
      </w:r>
      <w:r w:rsidRPr="00E82E7D">
        <w:tab/>
        <w:t>Unitless average surface-to-floor area ratio</w:t>
      </w:r>
    </w:p>
    <w:p w14:paraId="0EEEE252" w14:textId="77777777" w:rsidR="00062D6E" w:rsidRPr="00E82E7D" w:rsidRDefault="00062D6E" w:rsidP="00062D6E">
      <w:pPr>
        <w:pStyle w:val="wherestatement"/>
      </w:pPr>
      <w:r w:rsidRPr="00E82E7D">
        <w:tab/>
      </w:r>
      <m:oMath>
        <m:r>
          <m:rPr>
            <m:nor/>
          </m:rPr>
          <w:rPr>
            <w:rFonts w:ascii="Cambria Math" w:hAnsi="Cambria Math"/>
          </w:rPr>
          <m:t>IG</m:t>
        </m:r>
      </m:oMath>
      <w:r w:rsidRPr="00E82E7D">
        <w:tab/>
        <w:t>=</w:t>
      </w:r>
      <w:r w:rsidRPr="00E82E7D">
        <w:tab/>
        <w:t>Internal gain [GJ/m</w:t>
      </w:r>
      <w:r w:rsidRPr="00E82E7D">
        <w:rPr>
          <w:vertAlign w:val="superscript"/>
        </w:rPr>
        <w:t>2</w:t>
      </w:r>
      <w:r w:rsidRPr="00E82E7D">
        <w:t>]</w:t>
      </w:r>
    </w:p>
    <w:p w14:paraId="7D6D26B2" w14:textId="77777777" w:rsidR="00062D6E" w:rsidRPr="00E82E7D" w:rsidRDefault="00062D6E" w:rsidP="00062D6E">
      <w:pPr>
        <w:pStyle w:val="wherestatement"/>
      </w:pPr>
      <w:r w:rsidRPr="00E82E7D">
        <w:tab/>
      </w:r>
      <m:oMath>
        <m:r>
          <m:rPr>
            <m:nor/>
          </m:rPr>
          <w:rPr>
            <w:rFonts w:ascii="Cambria Math" w:hAnsi="Cambria Math"/>
          </w:rPr>
          <m:t>μ</m:t>
        </m:r>
      </m:oMath>
      <w:r w:rsidRPr="00E82E7D">
        <w:tab/>
        <w:t>=</w:t>
      </w:r>
      <w:r w:rsidRPr="00E82E7D">
        <w:tab/>
        <w:t>Region and sector specific demand satiation</w:t>
      </w:r>
    </w:p>
    <w:p w14:paraId="5F7282BB" w14:textId="77777777" w:rsidR="00062D6E" w:rsidRPr="00E82E7D" w:rsidRDefault="00062D6E" w:rsidP="00062D6E">
      <w:pPr>
        <w:pStyle w:val="wherestatement"/>
      </w:pPr>
      <w:r w:rsidRPr="00E82E7D">
        <w:tab/>
      </w:r>
      <m:oMath>
        <m:r>
          <m:rPr>
            <m:sty m:val="p"/>
          </m:rPr>
          <w:rPr>
            <w:rFonts w:ascii="Cambria Math" w:hAnsi="Cambria Math"/>
          </w:rPr>
          <m:t>i</m:t>
        </m:r>
      </m:oMath>
      <w:r w:rsidRPr="00E82E7D">
        <w:tab/>
        <w:t>=</w:t>
      </w:r>
      <w:r w:rsidRPr="00E82E7D">
        <w:tab/>
        <w:t>Per-capita income</w:t>
      </w:r>
    </w:p>
    <w:p w14:paraId="470E3ABE" w14:textId="77777777" w:rsidR="00062D6E" w:rsidRPr="00E82E7D" w:rsidRDefault="00062D6E" w:rsidP="00062D6E">
      <w:pPr>
        <w:pStyle w:val="wherestatement"/>
      </w:pPr>
      <w:r w:rsidRPr="00E82E7D">
        <w:tab/>
      </w:r>
      <m:oMath>
        <m:r>
          <m:rPr>
            <m:sty m:val="p"/>
          </m:rPr>
          <w:rPr>
            <w:rFonts w:ascii="Cambria Math" w:hAnsi="Cambria Math"/>
          </w:rPr>
          <m:t>P</m:t>
        </m:r>
      </m:oMath>
      <w:r w:rsidRPr="00E82E7D">
        <w:tab/>
        <w:t>=</w:t>
      </w:r>
      <w:r w:rsidRPr="00E82E7D">
        <w:tab/>
        <w:t>Total price of service (Weighted average of technologies used)</w:t>
      </w:r>
    </w:p>
    <w:p w14:paraId="07F059B4" w14:textId="77777777" w:rsidR="00062D6E" w:rsidRDefault="00062D6E" w:rsidP="00062D6E">
      <w:pPr>
        <w:ind w:firstLine="720"/>
        <w:jc w:val="both"/>
        <w:rPr>
          <w:rFonts w:ascii="Times New Roman" w:eastAsia="Times New Roman" w:hAnsi="Times New Roman"/>
          <w:szCs w:val="24"/>
          <w:lang w:eastAsia="ja-JP"/>
        </w:rPr>
      </w:pPr>
    </w:p>
    <w:p w14:paraId="2AADF73A" w14:textId="77777777" w:rsidR="00062D6E" w:rsidRDefault="00062D6E" w:rsidP="00062D6E">
      <w:pPr>
        <w:ind w:firstLine="720"/>
        <w:jc w:val="both"/>
        <w:rPr>
          <w:rFonts w:ascii="Times New Roman" w:eastAsia="Times New Roman" w:hAnsi="Times New Roman"/>
          <w:szCs w:val="24"/>
          <w:lang w:eastAsia="ja-JP"/>
        </w:rPr>
      </w:pPr>
      <w:r>
        <w:rPr>
          <w:rFonts w:ascii="Times New Roman" w:eastAsia="Times New Roman" w:hAnsi="Times New Roman"/>
          <w:szCs w:val="24"/>
          <w:lang w:eastAsia="ja-JP"/>
        </w:rPr>
        <w:t xml:space="preserve">The first component shown in blue, represents </w:t>
      </w:r>
      <w:r w:rsidRPr="00873F27">
        <w:rPr>
          <w:rFonts w:ascii="Times New Roman" w:eastAsia="Times New Roman" w:hAnsi="Times New Roman"/>
          <w:szCs w:val="24"/>
          <w:lang w:eastAsia="ja-JP"/>
        </w:rPr>
        <w:t xml:space="preserve">a calibration parameter (k), that </w:t>
      </w:r>
      <w:r>
        <w:rPr>
          <w:rFonts w:ascii="Times New Roman" w:eastAsia="Times New Roman" w:hAnsi="Times New Roman"/>
          <w:szCs w:val="24"/>
          <w:lang w:eastAsia="ja-JP"/>
        </w:rPr>
        <w:t>can be</w:t>
      </w:r>
      <w:r w:rsidRPr="00873F27">
        <w:rPr>
          <w:rFonts w:ascii="Times New Roman" w:eastAsia="Times New Roman" w:hAnsi="Times New Roman"/>
          <w:szCs w:val="24"/>
          <w:lang w:eastAsia="ja-JP"/>
        </w:rPr>
        <w:t xml:space="preserve"> calculated for each region</w:t>
      </w:r>
      <w:r>
        <w:rPr>
          <w:rFonts w:ascii="Times New Roman" w:eastAsia="Times New Roman" w:hAnsi="Times New Roman"/>
          <w:szCs w:val="24"/>
          <w:lang w:eastAsia="ja-JP"/>
        </w:rPr>
        <w:t xml:space="preserve"> of interest. This parameter can be thought to characterize the ratio of a “satiated heating and cooling demand” term (</w:t>
      </w:r>
      <w:proofErr w:type="gramStart"/>
      <w:r>
        <w:rPr>
          <w:rFonts w:ascii="Times New Roman" w:eastAsia="Times New Roman" w:hAnsi="Times New Roman"/>
          <w:szCs w:val="24"/>
          <w:lang w:eastAsia="ja-JP"/>
        </w:rPr>
        <w:t>i.e.</w:t>
      </w:r>
      <w:proofErr w:type="gramEnd"/>
      <w:r>
        <w:rPr>
          <w:rFonts w:ascii="Times New Roman" w:eastAsia="Times New Roman" w:hAnsi="Times New Roman"/>
          <w:szCs w:val="24"/>
          <w:lang w:eastAsia="ja-JP"/>
        </w:rPr>
        <w:t xml:space="preserve"> without economic constraints) for a chosen calibration year, to the local temperature and building characteristics for that year. This is calculated by first </w:t>
      </w:r>
      <w:r w:rsidRPr="00BD2C52">
        <w:rPr>
          <w:rFonts w:ascii="Times New Roman" w:eastAsia="Times New Roman" w:hAnsi="Times New Roman"/>
          <w:szCs w:val="24"/>
          <w:lang w:eastAsia="ja-JP"/>
        </w:rPr>
        <w:t xml:space="preserve">setting </w:t>
      </w:r>
      <w:r>
        <w:rPr>
          <w:rFonts w:ascii="Times New Roman" w:eastAsia="Times New Roman" w:hAnsi="Times New Roman"/>
          <w:szCs w:val="24"/>
          <w:lang w:eastAsia="ja-JP"/>
        </w:rPr>
        <w:t xml:space="preserve">the </w:t>
      </w:r>
      <w:r w:rsidRPr="00BD2C52">
        <w:rPr>
          <w:rFonts w:ascii="Times New Roman" w:eastAsia="Times New Roman" w:hAnsi="Times New Roman"/>
          <w:szCs w:val="24"/>
          <w:lang w:eastAsia="ja-JP"/>
        </w:rPr>
        <w:t>per capita income</w:t>
      </w:r>
      <w:r>
        <w:rPr>
          <w:rFonts w:ascii="Times New Roman" w:eastAsia="Times New Roman" w:hAnsi="Times New Roman"/>
          <w:szCs w:val="24"/>
          <w:lang w:eastAsia="ja-JP"/>
        </w:rPr>
        <w:t xml:space="preserve"> (</w:t>
      </w:r>
      <m:oMath>
        <m:r>
          <m:rPr>
            <m:sty m:val="p"/>
          </m:rPr>
          <w:rPr>
            <w:rFonts w:ascii="Cambria Math" w:hAnsi="Cambria Math"/>
          </w:rPr>
          <m:t>i</m:t>
        </m:r>
      </m:oMath>
      <w:r>
        <w:rPr>
          <w:rFonts w:ascii="Times New Roman" w:eastAsia="Times New Roman" w:hAnsi="Times New Roman"/>
          <w:szCs w:val="24"/>
          <w:lang w:eastAsia="ja-JP"/>
        </w:rPr>
        <w:t>)</w:t>
      </w:r>
      <w:r w:rsidRPr="00BD2C52">
        <w:rPr>
          <w:rFonts w:ascii="Times New Roman" w:eastAsia="Times New Roman" w:hAnsi="Times New Roman"/>
          <w:szCs w:val="24"/>
          <w:lang w:eastAsia="ja-JP"/>
        </w:rPr>
        <w:t xml:space="preserve"> to infinite</w:t>
      </w:r>
      <w:r>
        <w:rPr>
          <w:rFonts w:ascii="Times New Roman" w:eastAsia="Times New Roman" w:hAnsi="Times New Roman"/>
          <w:szCs w:val="24"/>
          <w:lang w:eastAsia="ja-JP"/>
        </w:rPr>
        <w:t xml:space="preserve"> which results in the purple part of the equation (representing the economic effect) being removed. The service demands for heating and cooling as well as the remaining elements of the equation are then set for a chosen base year and the </w:t>
      </w:r>
      <w:proofErr w:type="spellStart"/>
      <w:r>
        <w:rPr>
          <w:rFonts w:ascii="Times New Roman" w:eastAsia="Times New Roman" w:hAnsi="Times New Roman"/>
          <w:szCs w:val="24"/>
          <w:lang w:eastAsia="ja-JP"/>
        </w:rPr>
        <w:t>k</w:t>
      </w:r>
      <w:r>
        <w:rPr>
          <w:rFonts w:ascii="Times New Roman" w:eastAsia="Times New Roman" w:hAnsi="Times New Roman"/>
          <w:szCs w:val="24"/>
          <w:vertAlign w:val="subscript"/>
          <w:lang w:eastAsia="ja-JP"/>
        </w:rPr>
        <w:t>H</w:t>
      </w:r>
      <w:proofErr w:type="spellEnd"/>
      <w:r>
        <w:rPr>
          <w:rFonts w:ascii="Times New Roman" w:eastAsia="Times New Roman" w:hAnsi="Times New Roman"/>
          <w:szCs w:val="24"/>
          <w:vertAlign w:val="subscript"/>
          <w:lang w:eastAsia="ja-JP"/>
        </w:rPr>
        <w:t xml:space="preserve"> </w:t>
      </w:r>
      <w:r>
        <w:rPr>
          <w:rFonts w:ascii="Times New Roman" w:eastAsia="Times New Roman" w:hAnsi="Times New Roman"/>
          <w:szCs w:val="24"/>
          <w:lang w:eastAsia="ja-JP"/>
        </w:rPr>
        <w:t xml:space="preserve">and </w:t>
      </w:r>
      <w:proofErr w:type="spellStart"/>
      <w:r>
        <w:rPr>
          <w:rFonts w:ascii="Times New Roman" w:eastAsia="Times New Roman" w:hAnsi="Times New Roman"/>
          <w:szCs w:val="24"/>
          <w:lang w:eastAsia="ja-JP"/>
        </w:rPr>
        <w:t>k</w:t>
      </w:r>
      <w:r>
        <w:rPr>
          <w:rFonts w:ascii="Times New Roman" w:eastAsia="Times New Roman" w:hAnsi="Times New Roman"/>
          <w:szCs w:val="24"/>
          <w:vertAlign w:val="subscript"/>
          <w:lang w:eastAsia="ja-JP"/>
        </w:rPr>
        <w:t>C</w:t>
      </w:r>
      <w:proofErr w:type="spellEnd"/>
      <w:r>
        <w:rPr>
          <w:rFonts w:ascii="Times New Roman" w:eastAsia="Times New Roman" w:hAnsi="Times New Roman"/>
          <w:szCs w:val="24"/>
          <w:vertAlign w:val="subscript"/>
          <w:lang w:eastAsia="ja-JP"/>
        </w:rPr>
        <w:t xml:space="preserve"> </w:t>
      </w:r>
      <w:r>
        <w:rPr>
          <w:rFonts w:ascii="Times New Roman" w:eastAsia="Times New Roman" w:hAnsi="Times New Roman"/>
          <w:szCs w:val="24"/>
          <w:lang w:eastAsia="ja-JP"/>
        </w:rPr>
        <w:t xml:space="preserve">parameters calculated accordingly. </w:t>
      </w:r>
    </w:p>
    <w:p w14:paraId="6EF245AF" w14:textId="77777777" w:rsidR="00062D6E" w:rsidRDefault="00062D6E" w:rsidP="00062D6E">
      <w:pPr>
        <w:ind w:firstLine="720"/>
        <w:jc w:val="both"/>
        <w:rPr>
          <w:rFonts w:ascii="Times New Roman" w:eastAsia="Times New Roman" w:hAnsi="Times New Roman"/>
          <w:szCs w:val="24"/>
          <w:lang w:eastAsia="ja-JP"/>
        </w:rPr>
      </w:pPr>
      <w:r>
        <w:rPr>
          <w:rFonts w:ascii="Times New Roman" w:eastAsia="Times New Roman" w:hAnsi="Times New Roman"/>
          <w:szCs w:val="24"/>
          <w:lang w:eastAsia="ja-JP"/>
        </w:rPr>
        <w:t xml:space="preserve">The second component of the equation, shown in orange, represents the impacts of changes in temperature as well as any changes in building characteristics. Heating Degree Days (HDD) and Cooling Degree Days (CDD) are </w:t>
      </w:r>
      <w:r w:rsidRPr="00BD2C52">
        <w:rPr>
          <w:rFonts w:ascii="Times New Roman" w:eastAsia="Times New Roman" w:hAnsi="Times New Roman"/>
          <w:szCs w:val="24"/>
          <w:lang w:eastAsia="ja-JP"/>
        </w:rPr>
        <w:t>defined as the summation of temperature differences from a subjective reference temperature which was set at 65</w:t>
      </w:r>
      <w:r w:rsidRPr="00DE7723">
        <w:rPr>
          <w:rFonts w:ascii="Times New Roman" w:eastAsia="Times New Roman" w:hAnsi="Times New Roman"/>
          <w:szCs w:val="24"/>
          <w:vertAlign w:val="superscript"/>
          <w:lang w:eastAsia="ja-JP"/>
        </w:rPr>
        <w:t>o</w:t>
      </w:r>
      <w:r w:rsidRPr="00BD2C52">
        <w:rPr>
          <w:rFonts w:ascii="Times New Roman" w:eastAsia="Times New Roman" w:hAnsi="Times New Roman"/>
          <w:szCs w:val="24"/>
          <w:lang w:eastAsia="ja-JP"/>
        </w:rPr>
        <w:t>F (18</w:t>
      </w:r>
      <w:r w:rsidRPr="00DE7723">
        <w:rPr>
          <w:rFonts w:ascii="Times New Roman" w:eastAsia="Times New Roman" w:hAnsi="Times New Roman"/>
          <w:szCs w:val="24"/>
          <w:vertAlign w:val="superscript"/>
          <w:lang w:eastAsia="ja-JP"/>
        </w:rPr>
        <w:t>o</w:t>
      </w:r>
      <w:r w:rsidRPr="00BD2C52">
        <w:rPr>
          <w:rFonts w:ascii="Times New Roman" w:eastAsia="Times New Roman" w:hAnsi="Times New Roman"/>
          <w:szCs w:val="24"/>
          <w:lang w:eastAsia="ja-JP"/>
        </w:rPr>
        <w:t>C) based on the methodology used by National Ocean and Atmospheric Administration (NOA</w:t>
      </w:r>
      <w:r w:rsidRPr="00D62CBD">
        <w:rPr>
          <w:rFonts w:ascii="Times New Roman" w:eastAsia="Times New Roman" w:hAnsi="Times New Roman"/>
          <w:szCs w:val="24"/>
          <w:lang w:eastAsia="ja-JP"/>
        </w:rPr>
        <w:t>A)</w:t>
      </w:r>
      <w:r w:rsidRPr="00DE7723">
        <w:rPr>
          <w:rFonts w:ascii="Times New Roman" w:eastAsia="Times New Roman" w:hAnsi="Times New Roman"/>
          <w:szCs w:val="24"/>
          <w:lang w:eastAsia="ja-JP"/>
        </w:rPr>
        <w:t xml:space="preserve"> </w:t>
      </w:r>
      <w:r w:rsidRPr="00DE7723">
        <w:rPr>
          <w:rFonts w:ascii="Times New Roman" w:eastAsia="Times New Roman" w:hAnsi="Times New Roman"/>
          <w:szCs w:val="24"/>
          <w:highlight w:val="yellow"/>
          <w:lang w:eastAsia="ja-JP"/>
        </w:rPr>
        <w:t>[</w:t>
      </w:r>
      <w:r>
        <w:rPr>
          <w:rFonts w:ascii="Times New Roman" w:eastAsia="Times New Roman" w:hAnsi="Times New Roman"/>
          <w:szCs w:val="24"/>
          <w:highlight w:val="yellow"/>
          <w:lang w:eastAsia="ja-JP"/>
        </w:rPr>
        <w:t>NOAA 2015</w:t>
      </w:r>
      <w:r w:rsidRPr="00DE7723">
        <w:rPr>
          <w:rFonts w:ascii="Times New Roman" w:eastAsia="Times New Roman" w:hAnsi="Times New Roman"/>
          <w:szCs w:val="24"/>
          <w:highlight w:val="yellow"/>
          <w:lang w:eastAsia="ja-JP"/>
        </w:rPr>
        <w:t>].</w:t>
      </w:r>
      <w:r>
        <w:rPr>
          <w:rFonts w:ascii="Times New Roman" w:eastAsia="Times New Roman" w:hAnsi="Times New Roman"/>
          <w:szCs w:val="24"/>
          <w:lang w:eastAsia="ja-JP"/>
        </w:rPr>
        <w:t xml:space="preserve"> These are typically </w:t>
      </w:r>
      <w:r>
        <w:rPr>
          <w:rFonts w:ascii="Times New Roman" w:eastAsia="Times New Roman" w:hAnsi="Times New Roman"/>
          <w:szCs w:val="24"/>
          <w:lang w:eastAsia="ja-JP"/>
        </w:rPr>
        <w:lastRenderedPageBreak/>
        <w:t xml:space="preserve">calculated for each month using the day as a baseline unit but can also be adjusted to be used for any time period as done in the case of Heating Degree Hours (HDH) and Cooling Degree Hours (CDH) in </w:t>
      </w:r>
      <w:r w:rsidRPr="00DE7723">
        <w:rPr>
          <w:rFonts w:ascii="Times New Roman" w:eastAsia="Times New Roman" w:hAnsi="Times New Roman"/>
          <w:szCs w:val="24"/>
          <w:highlight w:val="yellow"/>
          <w:lang w:eastAsia="ja-JP"/>
        </w:rPr>
        <w:t>Khan et al. 2021</w:t>
      </w:r>
      <w:r>
        <w:rPr>
          <w:rFonts w:ascii="Times New Roman" w:eastAsia="Times New Roman" w:hAnsi="Times New Roman"/>
          <w:szCs w:val="24"/>
          <w:lang w:eastAsia="ja-JP"/>
        </w:rPr>
        <w:t xml:space="preserve">. This component of the equation also represents certain building characteristics captured in the terms: </w:t>
      </w:r>
      <w:r w:rsidRPr="00873F27">
        <w:rPr>
          <w:rFonts w:ascii="Times New Roman" w:eastAsia="Times New Roman" w:hAnsi="Times New Roman" w:hint="eastAsia"/>
          <w:szCs w:val="24"/>
          <w:lang w:eastAsia="ja-JP"/>
        </w:rPr>
        <w:t>η</w:t>
      </w:r>
      <w:r w:rsidRPr="00873F27">
        <w:rPr>
          <w:rFonts w:ascii="Times New Roman" w:eastAsia="Times New Roman" w:hAnsi="Times New Roman"/>
          <w:szCs w:val="24"/>
          <w:lang w:eastAsia="ja-JP"/>
        </w:rPr>
        <w:t xml:space="preserve"> represent</w:t>
      </w:r>
      <w:r>
        <w:rPr>
          <w:rFonts w:ascii="Times New Roman" w:eastAsia="Times New Roman" w:hAnsi="Times New Roman"/>
          <w:szCs w:val="24"/>
          <w:lang w:eastAsia="ja-JP"/>
        </w:rPr>
        <w:t>ing</w:t>
      </w:r>
      <w:r w:rsidRPr="00873F27">
        <w:rPr>
          <w:rFonts w:ascii="Times New Roman" w:eastAsia="Times New Roman" w:hAnsi="Times New Roman"/>
          <w:szCs w:val="24"/>
          <w:lang w:eastAsia="ja-JP"/>
        </w:rPr>
        <w:t xml:space="preserve"> the building shell conductivity</w:t>
      </w:r>
      <w:r>
        <w:rPr>
          <w:rFonts w:ascii="Times New Roman" w:eastAsia="Times New Roman" w:hAnsi="Times New Roman"/>
          <w:szCs w:val="24"/>
          <w:lang w:eastAsia="ja-JP"/>
        </w:rPr>
        <w:t xml:space="preserve">; the term </w:t>
      </w:r>
      <w:r w:rsidRPr="00873F27">
        <w:rPr>
          <w:rFonts w:ascii="Times New Roman" w:eastAsia="Times New Roman" w:hAnsi="Times New Roman"/>
          <w:szCs w:val="24"/>
          <w:lang w:eastAsia="ja-JP"/>
        </w:rPr>
        <w:t xml:space="preserve">R </w:t>
      </w:r>
      <w:r>
        <w:rPr>
          <w:rFonts w:ascii="Times New Roman" w:eastAsia="Times New Roman" w:hAnsi="Times New Roman"/>
          <w:szCs w:val="24"/>
          <w:lang w:eastAsia="ja-JP"/>
        </w:rPr>
        <w:t xml:space="preserve">representing </w:t>
      </w:r>
      <w:r w:rsidRPr="00873F27">
        <w:rPr>
          <w:rFonts w:ascii="Times New Roman" w:eastAsia="Times New Roman" w:hAnsi="Times New Roman"/>
          <w:szCs w:val="24"/>
          <w:lang w:eastAsia="ja-JP"/>
        </w:rPr>
        <w:t>the ratio of floorspace to building area</w:t>
      </w:r>
      <w:r>
        <w:rPr>
          <w:rFonts w:ascii="Times New Roman" w:eastAsia="Times New Roman" w:hAnsi="Times New Roman"/>
          <w:szCs w:val="24"/>
          <w:lang w:eastAsia="ja-JP"/>
        </w:rPr>
        <w:t xml:space="preserve">; and the term </w:t>
      </w:r>
      <w:r w:rsidRPr="00873F27">
        <w:rPr>
          <w:rFonts w:ascii="Times New Roman" w:eastAsia="Times New Roman" w:hAnsi="Times New Roman"/>
          <w:szCs w:val="24"/>
          <w:lang w:eastAsia="ja-JP"/>
        </w:rPr>
        <w:t>IG represent</w:t>
      </w:r>
      <w:r>
        <w:rPr>
          <w:rFonts w:ascii="Times New Roman" w:eastAsia="Times New Roman" w:hAnsi="Times New Roman"/>
          <w:szCs w:val="24"/>
          <w:lang w:eastAsia="ja-JP"/>
        </w:rPr>
        <w:t>ing</w:t>
      </w:r>
      <w:r w:rsidRPr="00873F27">
        <w:rPr>
          <w:rFonts w:ascii="Times New Roman" w:eastAsia="Times New Roman" w:hAnsi="Times New Roman"/>
          <w:szCs w:val="24"/>
          <w:lang w:eastAsia="ja-JP"/>
        </w:rPr>
        <w:t xml:space="preserve"> the internal gains associated with the heat released by “other” energy </w:t>
      </w:r>
      <w:r>
        <w:rPr>
          <w:rFonts w:ascii="Times New Roman" w:eastAsia="Times New Roman" w:hAnsi="Times New Roman"/>
          <w:szCs w:val="24"/>
          <w:lang w:eastAsia="ja-JP"/>
        </w:rPr>
        <w:t>services such as appliances.</w:t>
      </w:r>
    </w:p>
    <w:p w14:paraId="5F682DB4" w14:textId="77777777" w:rsidR="00062D6E" w:rsidRDefault="00062D6E" w:rsidP="00062D6E">
      <w:pPr>
        <w:ind w:firstLine="720"/>
        <w:jc w:val="both"/>
        <w:rPr>
          <w:rFonts w:ascii="Times New Roman" w:eastAsia="Times New Roman" w:hAnsi="Times New Roman"/>
          <w:szCs w:val="24"/>
          <w:lang w:eastAsia="ja-JP"/>
        </w:rPr>
      </w:pPr>
      <w:r>
        <w:rPr>
          <w:rFonts w:ascii="Times New Roman" w:eastAsia="Times New Roman" w:hAnsi="Times New Roman"/>
          <w:szCs w:val="24"/>
          <w:lang w:eastAsia="ja-JP"/>
        </w:rPr>
        <w:t>The third and final component in</w:t>
      </w:r>
      <w:r w:rsidRPr="00873F27">
        <w:rPr>
          <w:rFonts w:ascii="Times New Roman" w:eastAsia="Times New Roman" w:hAnsi="Times New Roman"/>
          <w:szCs w:val="24"/>
          <w:lang w:eastAsia="ja-JP"/>
        </w:rPr>
        <w:t xml:space="preserve"> (purple) represents the economic effect</w:t>
      </w:r>
      <w:r>
        <w:rPr>
          <w:rFonts w:ascii="Times New Roman" w:eastAsia="Times New Roman" w:hAnsi="Times New Roman"/>
          <w:szCs w:val="24"/>
          <w:lang w:eastAsia="ja-JP"/>
        </w:rPr>
        <w:t>s on the demands</w:t>
      </w:r>
      <w:r w:rsidRPr="00873F27">
        <w:rPr>
          <w:rFonts w:ascii="Times New Roman" w:eastAsia="Times New Roman" w:hAnsi="Times New Roman"/>
          <w:szCs w:val="24"/>
          <w:lang w:eastAsia="ja-JP"/>
        </w:rPr>
        <w:t xml:space="preserve">. It indicates the fraction of the </w:t>
      </w:r>
      <w:r>
        <w:rPr>
          <w:rFonts w:ascii="Times New Roman" w:eastAsia="Times New Roman" w:hAnsi="Times New Roman"/>
          <w:szCs w:val="24"/>
          <w:lang w:eastAsia="ja-JP"/>
        </w:rPr>
        <w:t>“</w:t>
      </w:r>
      <w:r w:rsidRPr="00873F27">
        <w:rPr>
          <w:rFonts w:ascii="Times New Roman" w:eastAsia="Times New Roman" w:hAnsi="Times New Roman"/>
          <w:szCs w:val="24"/>
          <w:lang w:eastAsia="ja-JP"/>
        </w:rPr>
        <w:t>satiated demand</w:t>
      </w:r>
      <w:r>
        <w:rPr>
          <w:rFonts w:ascii="Times New Roman" w:eastAsia="Times New Roman" w:hAnsi="Times New Roman"/>
          <w:szCs w:val="24"/>
          <w:lang w:eastAsia="ja-JP"/>
        </w:rPr>
        <w:t>” (described earlier)</w:t>
      </w:r>
      <w:r w:rsidRPr="00873F27">
        <w:rPr>
          <w:rFonts w:ascii="Times New Roman" w:eastAsia="Times New Roman" w:hAnsi="Times New Roman"/>
          <w:szCs w:val="24"/>
          <w:lang w:eastAsia="ja-JP"/>
        </w:rPr>
        <w:t xml:space="preserve"> that is achieved, which increases with the affordability of the services. The affordability is measured as per capita income divided by the price of the service</w:t>
      </w:r>
      <w:r>
        <w:rPr>
          <w:rFonts w:ascii="Times New Roman" w:eastAsia="Times New Roman" w:hAnsi="Times New Roman"/>
          <w:szCs w:val="24"/>
          <w:lang w:eastAsia="ja-JP"/>
        </w:rPr>
        <w:t xml:space="preserve"> (weighted average of the estimate of technologies being used)</w:t>
      </w:r>
      <w:r w:rsidRPr="00873F27">
        <w:rPr>
          <w:rFonts w:ascii="Times New Roman" w:eastAsia="Times New Roman" w:hAnsi="Times New Roman"/>
          <w:szCs w:val="24"/>
          <w:lang w:eastAsia="ja-JP"/>
        </w:rPr>
        <w:t>. Therefore, affordability and, consequently, service demand</w:t>
      </w:r>
      <w:r>
        <w:rPr>
          <w:rFonts w:ascii="Times New Roman" w:eastAsia="Times New Roman" w:hAnsi="Times New Roman"/>
          <w:szCs w:val="24"/>
          <w:lang w:eastAsia="ja-JP"/>
        </w:rPr>
        <w:t>s</w:t>
      </w:r>
      <w:r w:rsidRPr="00873F27">
        <w:rPr>
          <w:rFonts w:ascii="Times New Roman" w:eastAsia="Times New Roman" w:hAnsi="Times New Roman"/>
          <w:szCs w:val="24"/>
          <w:lang w:eastAsia="ja-JP"/>
        </w:rPr>
        <w:t xml:space="preserve"> increase</w:t>
      </w:r>
      <w:r>
        <w:rPr>
          <w:rFonts w:ascii="Times New Roman" w:eastAsia="Times New Roman" w:hAnsi="Times New Roman"/>
          <w:szCs w:val="24"/>
          <w:lang w:eastAsia="ja-JP"/>
        </w:rPr>
        <w:t xml:space="preserve"> </w:t>
      </w:r>
      <w:r w:rsidRPr="00873F27">
        <w:rPr>
          <w:rFonts w:ascii="Times New Roman" w:eastAsia="Times New Roman" w:hAnsi="Times New Roman"/>
          <w:szCs w:val="24"/>
          <w:lang w:eastAsia="ja-JP"/>
        </w:rPr>
        <w:t xml:space="preserve">if per capita income increases or if the price of the service decreases. The µ parameter is the satiation impedance, and it represents the level of affordability required to achieve half </w:t>
      </w:r>
      <w:r>
        <w:rPr>
          <w:rFonts w:ascii="Times New Roman" w:eastAsia="Times New Roman" w:hAnsi="Times New Roman"/>
          <w:szCs w:val="24"/>
          <w:lang w:eastAsia="ja-JP"/>
        </w:rPr>
        <w:t>the</w:t>
      </w:r>
      <w:r w:rsidRPr="00873F27">
        <w:rPr>
          <w:rFonts w:ascii="Times New Roman" w:eastAsia="Times New Roman" w:hAnsi="Times New Roman"/>
          <w:szCs w:val="24"/>
          <w:lang w:eastAsia="ja-JP"/>
        </w:rPr>
        <w:t xml:space="preserve"> satiation. This </w:t>
      </w:r>
      <w:r>
        <w:rPr>
          <w:rFonts w:ascii="Times New Roman" w:eastAsia="Times New Roman" w:hAnsi="Times New Roman"/>
          <w:szCs w:val="24"/>
          <w:lang w:eastAsia="ja-JP"/>
        </w:rPr>
        <w:t xml:space="preserve">is the second calibration </w:t>
      </w:r>
      <w:r w:rsidRPr="00873F27">
        <w:rPr>
          <w:rFonts w:ascii="Times New Roman" w:eastAsia="Times New Roman" w:hAnsi="Times New Roman"/>
          <w:szCs w:val="24"/>
          <w:lang w:eastAsia="ja-JP"/>
        </w:rPr>
        <w:t xml:space="preserve">parameter </w:t>
      </w:r>
      <w:r>
        <w:rPr>
          <w:rFonts w:ascii="Times New Roman" w:eastAsia="Times New Roman" w:hAnsi="Times New Roman"/>
          <w:szCs w:val="24"/>
          <w:lang w:eastAsia="ja-JP"/>
        </w:rPr>
        <w:t xml:space="preserve">and similar to k, </w:t>
      </w:r>
      <w:r w:rsidRPr="00873F27">
        <w:rPr>
          <w:rFonts w:ascii="Times New Roman" w:eastAsia="Times New Roman" w:hAnsi="Times New Roman"/>
          <w:szCs w:val="24"/>
          <w:lang w:eastAsia="ja-JP"/>
        </w:rPr>
        <w:t xml:space="preserve">is calculated based on the per capita service demand and the affordability (per capita income and service price) in the </w:t>
      </w:r>
      <w:r>
        <w:rPr>
          <w:rFonts w:ascii="Times New Roman" w:eastAsia="Times New Roman" w:hAnsi="Times New Roman"/>
          <w:szCs w:val="24"/>
          <w:lang w:eastAsia="ja-JP"/>
        </w:rPr>
        <w:t>chosen calibration year</w:t>
      </w:r>
      <w:r w:rsidRPr="00873F27">
        <w:rPr>
          <w:rFonts w:ascii="Times New Roman" w:eastAsia="Times New Roman" w:hAnsi="Times New Roman"/>
          <w:szCs w:val="24"/>
          <w:lang w:eastAsia="ja-JP"/>
        </w:rPr>
        <w:t xml:space="preserve">. </w:t>
      </w:r>
    </w:p>
    <w:p w14:paraId="3AAE3838" w14:textId="77777777" w:rsidR="00062D6E" w:rsidRDefault="00062D6E" w:rsidP="00062D6E">
      <w:pPr>
        <w:ind w:firstLine="720"/>
        <w:jc w:val="both"/>
        <w:rPr>
          <w:rFonts w:ascii="Times New Roman" w:eastAsia="Times New Roman" w:hAnsi="Times New Roman"/>
          <w:szCs w:val="24"/>
          <w:lang w:eastAsia="ja-JP"/>
        </w:rPr>
      </w:pPr>
      <w:r>
        <w:rPr>
          <w:rFonts w:ascii="Times New Roman" w:eastAsia="Times New Roman" w:hAnsi="Times New Roman"/>
          <w:szCs w:val="24"/>
          <w:lang w:eastAsia="ja-JP"/>
        </w:rPr>
        <w:t xml:space="preserve">The heating and cooling building energy demands will be calculated and combined with the estimates for changes in total floorspace in response to urbanization and urban expansion. Finally, the relative increases in building energy demands will be compared to total energy demands and emissions for the region in order to estimate implications on energy generation and corresponding emissions. </w:t>
      </w:r>
    </w:p>
    <w:p w14:paraId="48AF906A" w14:textId="77777777" w:rsidR="00062D6E" w:rsidRDefault="00062D6E" w:rsidP="00062D6E">
      <w:pPr>
        <w:ind w:firstLine="720"/>
        <w:jc w:val="both"/>
        <w:rPr>
          <w:rFonts w:ascii="Times New Roman" w:eastAsia="Times New Roman" w:hAnsi="Times New Roman"/>
          <w:szCs w:val="24"/>
          <w:lang w:eastAsia="ja-JP"/>
        </w:rPr>
      </w:pPr>
    </w:p>
    <w:p w14:paraId="124404B5" w14:textId="77777777" w:rsidR="00062D6E" w:rsidRDefault="00062D6E" w:rsidP="00062D6E">
      <w:pPr>
        <w:ind w:firstLine="720"/>
        <w:jc w:val="both"/>
        <w:rPr>
          <w:rFonts w:ascii="Times New Roman" w:eastAsia="Times New Roman" w:hAnsi="Times New Roman"/>
          <w:szCs w:val="24"/>
          <w:lang w:eastAsia="ja-JP"/>
        </w:rPr>
      </w:pPr>
      <w:r>
        <w:rPr>
          <w:rFonts w:ascii="Times New Roman" w:eastAsia="Times New Roman" w:hAnsi="Times New Roman"/>
          <w:szCs w:val="24"/>
          <w:lang w:eastAsia="ja-JP"/>
        </w:rPr>
        <w:t>REFERENCES:</w:t>
      </w:r>
    </w:p>
    <w:p w14:paraId="56755132" w14:textId="77777777" w:rsidR="00062D6E" w:rsidRPr="00DE7723" w:rsidRDefault="00062D6E" w:rsidP="00062D6E">
      <w:pPr>
        <w:pStyle w:val="ListParagraph"/>
        <w:numPr>
          <w:ilvl w:val="0"/>
          <w:numId w:val="1"/>
        </w:numPr>
        <w:jc w:val="both"/>
        <w:rPr>
          <w:rFonts w:ascii="Times New Roman" w:hAnsi="Times New Roman"/>
        </w:rPr>
      </w:pPr>
      <w:proofErr w:type="spellStart"/>
      <w:r w:rsidRPr="00E65714">
        <w:rPr>
          <w:rFonts w:ascii="Times New Roman" w:hAnsi="Times New Roman"/>
        </w:rPr>
        <w:t>Eom</w:t>
      </w:r>
      <w:proofErr w:type="spellEnd"/>
      <w:r w:rsidRPr="00E65714">
        <w:rPr>
          <w:rFonts w:ascii="Times New Roman" w:hAnsi="Times New Roman"/>
        </w:rPr>
        <w:t xml:space="preserve">, J., Clarke, L., Kim, S.H., Kyle, P., Patel, P., 2012. China’s building energy demand: Long-term implications from a detailed assessment. Energy 46, 405–419. </w:t>
      </w:r>
      <w:hyperlink r:id="rId5" w:history="1">
        <w:r w:rsidRPr="004B63CD">
          <w:rPr>
            <w:rStyle w:val="Hyperlink"/>
            <w:rFonts w:ascii="Times New Roman" w:hAnsi="Times New Roman"/>
          </w:rPr>
          <w:t>https://doi.org/10.1016/j.energy.2012.08.009</w:t>
        </w:r>
      </w:hyperlink>
      <w:r>
        <w:rPr>
          <w:rFonts w:ascii="Times New Roman" w:hAnsi="Times New Roman"/>
        </w:rPr>
        <w:t xml:space="preserve"> </w:t>
      </w:r>
    </w:p>
    <w:p w14:paraId="6DB8C2E7" w14:textId="77777777" w:rsidR="00062D6E" w:rsidRDefault="00062D6E" w:rsidP="00062D6E">
      <w:pPr>
        <w:pStyle w:val="ListParagraph"/>
        <w:numPr>
          <w:ilvl w:val="0"/>
          <w:numId w:val="1"/>
        </w:numPr>
        <w:jc w:val="both"/>
        <w:rPr>
          <w:rFonts w:ascii="Times New Roman" w:hAnsi="Times New Roman"/>
        </w:rPr>
      </w:pPr>
      <w:r w:rsidRPr="00E65714">
        <w:rPr>
          <w:rFonts w:ascii="Times New Roman" w:hAnsi="Times New Roman"/>
        </w:rPr>
        <w:t xml:space="preserve">Zhou, Y., </w:t>
      </w:r>
      <w:proofErr w:type="spellStart"/>
      <w:r w:rsidRPr="00E65714">
        <w:rPr>
          <w:rFonts w:ascii="Times New Roman" w:hAnsi="Times New Roman"/>
        </w:rPr>
        <w:t>Eom</w:t>
      </w:r>
      <w:proofErr w:type="spellEnd"/>
      <w:r w:rsidRPr="00E65714">
        <w:rPr>
          <w:rFonts w:ascii="Times New Roman" w:hAnsi="Times New Roman"/>
        </w:rPr>
        <w:t xml:space="preserve">, J., Clarke, L., 2013. The effect of global climate change, population distribution, and climate mitigation on building energy use in the U.S. and China. </w:t>
      </w:r>
      <w:proofErr w:type="spellStart"/>
      <w:r w:rsidRPr="00E65714">
        <w:rPr>
          <w:rFonts w:ascii="Times New Roman" w:hAnsi="Times New Roman"/>
        </w:rPr>
        <w:t>Clim</w:t>
      </w:r>
      <w:proofErr w:type="spellEnd"/>
      <w:r w:rsidRPr="00E65714">
        <w:rPr>
          <w:rFonts w:ascii="Times New Roman" w:hAnsi="Times New Roman"/>
        </w:rPr>
        <w:t xml:space="preserve">. Change 119, 979–992. </w:t>
      </w:r>
      <w:hyperlink r:id="rId6" w:history="1">
        <w:r w:rsidRPr="004B63CD">
          <w:rPr>
            <w:rStyle w:val="Hyperlink"/>
            <w:rFonts w:ascii="Times New Roman" w:hAnsi="Times New Roman"/>
          </w:rPr>
          <w:t>https://doi.org/10.1007/s10584-013-0772-x</w:t>
        </w:r>
      </w:hyperlink>
      <w:r>
        <w:rPr>
          <w:rFonts w:ascii="Times New Roman" w:hAnsi="Times New Roman"/>
        </w:rPr>
        <w:t xml:space="preserve"> </w:t>
      </w:r>
    </w:p>
    <w:p w14:paraId="641A0CA8" w14:textId="77777777" w:rsidR="00062D6E" w:rsidRPr="00BD7FE0" w:rsidRDefault="00062D6E" w:rsidP="00062D6E">
      <w:pPr>
        <w:pStyle w:val="ListParagraph"/>
        <w:numPr>
          <w:ilvl w:val="0"/>
          <w:numId w:val="1"/>
        </w:numPr>
        <w:jc w:val="both"/>
        <w:rPr>
          <w:rFonts w:ascii="Times New Roman" w:hAnsi="Times New Roman"/>
        </w:rPr>
      </w:pPr>
      <w:r w:rsidRPr="00E65714">
        <w:rPr>
          <w:rFonts w:ascii="Times New Roman" w:hAnsi="Times New Roman"/>
        </w:rPr>
        <w:t xml:space="preserve">Clarke, L., </w:t>
      </w:r>
      <w:proofErr w:type="spellStart"/>
      <w:r w:rsidRPr="00E65714">
        <w:rPr>
          <w:rFonts w:ascii="Times New Roman" w:hAnsi="Times New Roman"/>
        </w:rPr>
        <w:t>Eom</w:t>
      </w:r>
      <w:proofErr w:type="spellEnd"/>
      <w:r w:rsidRPr="00E65714">
        <w:rPr>
          <w:rFonts w:ascii="Times New Roman" w:hAnsi="Times New Roman"/>
        </w:rPr>
        <w:t xml:space="preserve">, J., Marten, E.H., Horowitz, R., Kyle, P., Link, R., </w:t>
      </w:r>
      <w:proofErr w:type="spellStart"/>
      <w:r w:rsidRPr="00E65714">
        <w:rPr>
          <w:rFonts w:ascii="Times New Roman" w:hAnsi="Times New Roman"/>
        </w:rPr>
        <w:t>Mignone</w:t>
      </w:r>
      <w:proofErr w:type="spellEnd"/>
      <w:r w:rsidRPr="00E65714">
        <w:rPr>
          <w:rFonts w:ascii="Times New Roman" w:hAnsi="Times New Roman"/>
        </w:rPr>
        <w:t>, B.K., Mundra, A., Zhou, Y., 2018. Effects of long-term climate change on global building energy expenditures. Energy Econ. 72, 667–677.</w:t>
      </w:r>
    </w:p>
    <w:p w14:paraId="566462DF" w14:textId="77777777" w:rsidR="00062D6E" w:rsidRPr="00DE7723" w:rsidRDefault="00062D6E" w:rsidP="00062D6E">
      <w:pPr>
        <w:pStyle w:val="ListParagraph"/>
        <w:numPr>
          <w:ilvl w:val="0"/>
          <w:numId w:val="1"/>
        </w:numPr>
        <w:jc w:val="both"/>
        <w:rPr>
          <w:rFonts w:ascii="Times New Roman" w:hAnsi="Times New Roman"/>
        </w:rPr>
      </w:pPr>
      <w:r w:rsidRPr="00E65714">
        <w:rPr>
          <w:rFonts w:ascii="Times New Roman" w:hAnsi="Times New Roman"/>
        </w:rPr>
        <w:t>Khan, Z., Iyer, G., Patel, P., Kim, S., Hejazi, M., Burleyson, C. and Wise, M., 2021. Impacts of long-term temperature change and variability on electricity investments. Nature communications, 12(1), pp.1-12.</w:t>
      </w:r>
      <w:r>
        <w:rPr>
          <w:rFonts w:ascii="Times New Roman" w:hAnsi="Times New Roman"/>
        </w:rPr>
        <w:t xml:space="preserve"> </w:t>
      </w:r>
      <w:hyperlink r:id="rId7" w:history="1">
        <w:r w:rsidRPr="004B63CD">
          <w:rPr>
            <w:rStyle w:val="Hyperlink"/>
            <w:rFonts w:ascii="Times New Roman" w:hAnsi="Times New Roman"/>
          </w:rPr>
          <w:t>https://doi.org/10.1038/s41467-021-21785-1</w:t>
        </w:r>
      </w:hyperlink>
      <w:r>
        <w:rPr>
          <w:rFonts w:ascii="Times New Roman" w:hAnsi="Times New Roman"/>
        </w:rPr>
        <w:t xml:space="preserve"> </w:t>
      </w:r>
    </w:p>
    <w:p w14:paraId="6431D6AF" w14:textId="46167CBA" w:rsidR="00062D6E" w:rsidRPr="001427F6" w:rsidRDefault="00062D6E" w:rsidP="00062D6E">
      <w:pPr>
        <w:pStyle w:val="ListParagraph"/>
        <w:numPr>
          <w:ilvl w:val="0"/>
          <w:numId w:val="1"/>
        </w:numPr>
        <w:jc w:val="both"/>
        <w:rPr>
          <w:rFonts w:ascii="Times New Roman" w:hAnsi="Times New Roman"/>
        </w:rPr>
      </w:pPr>
      <w:r>
        <w:t xml:space="preserve">NOAA 2005. </w:t>
      </w:r>
      <w:r w:rsidRPr="00C67240">
        <w:rPr>
          <w:i/>
          <w:iCs/>
        </w:rPr>
        <w:t>Explanation of the weekly and monthly degree day data</w:t>
      </w:r>
      <w:r>
        <w:t xml:space="preserve">. </w:t>
      </w:r>
      <w:hyperlink r:id="rId8" w:history="1">
        <w:r w:rsidRPr="004B63CD">
          <w:rPr>
            <w:rStyle w:val="Hyperlink"/>
          </w:rPr>
          <w:t>https://www.cpc.ncep.noaa.gov/products/analysis_monitoring/cdus/degree_days/ddayexp.shtml</w:t>
        </w:r>
      </w:hyperlink>
      <w:r>
        <w:t xml:space="preserve">  (2005).</w:t>
      </w:r>
    </w:p>
    <w:p w14:paraId="67BBD046" w14:textId="4FDC75E5" w:rsidR="001427F6" w:rsidRDefault="001427F6" w:rsidP="001427F6">
      <w:pPr>
        <w:jc w:val="both"/>
        <w:rPr>
          <w:rFonts w:ascii="Times New Roman" w:hAnsi="Times New Roman"/>
        </w:rPr>
      </w:pPr>
    </w:p>
    <w:p w14:paraId="57A3B7DE" w14:textId="3ED1AC25" w:rsidR="001427F6" w:rsidRDefault="001427F6" w:rsidP="001427F6">
      <w:pPr>
        <w:jc w:val="both"/>
        <w:rPr>
          <w:rFonts w:ascii="Times New Roman" w:hAnsi="Times New Roman"/>
        </w:rPr>
      </w:pPr>
    </w:p>
    <w:p w14:paraId="0CC5E1E2" w14:textId="7B50616D" w:rsidR="001427F6" w:rsidRDefault="001427F6" w:rsidP="001427F6">
      <w:pPr>
        <w:jc w:val="both"/>
        <w:rPr>
          <w:rFonts w:ascii="Times New Roman" w:hAnsi="Times New Roman"/>
        </w:rPr>
      </w:pPr>
      <w:r>
        <w:rPr>
          <w:rFonts w:ascii="Times New Roman" w:hAnsi="Times New Roman"/>
        </w:rPr>
        <w:t>Scenarios</w:t>
      </w:r>
    </w:p>
    <w:p w14:paraId="55B69A4B" w14:textId="4638C1B0" w:rsidR="001427F6" w:rsidRDefault="001427F6" w:rsidP="001427F6">
      <w:pPr>
        <w:jc w:val="both"/>
        <w:rPr>
          <w:rFonts w:ascii="Times New Roman" w:hAnsi="Times New Roman"/>
        </w:rPr>
      </w:pPr>
    </w:p>
    <w:p w14:paraId="0A6B4C97" w14:textId="5165F38D" w:rsidR="00694C58" w:rsidRDefault="00694C58" w:rsidP="001427F6">
      <w:pPr>
        <w:jc w:val="both"/>
        <w:rPr>
          <w:rFonts w:ascii="Times New Roman" w:hAnsi="Times New Roman"/>
        </w:rPr>
      </w:pPr>
    </w:p>
    <w:p w14:paraId="4F3D58FD" w14:textId="7F8BC9E8" w:rsidR="00694C58" w:rsidRDefault="00694C58" w:rsidP="001427F6">
      <w:pPr>
        <w:jc w:val="both"/>
        <w:rPr>
          <w:rFonts w:ascii="Times New Roman" w:hAnsi="Times New Roman"/>
        </w:rPr>
      </w:pPr>
    </w:p>
    <w:p w14:paraId="30CDCDFB" w14:textId="6263E408" w:rsidR="00694C58" w:rsidRDefault="00694C58" w:rsidP="001427F6">
      <w:pPr>
        <w:jc w:val="both"/>
        <w:rPr>
          <w:rFonts w:ascii="Times New Roman" w:hAnsi="Times New Roman"/>
        </w:rPr>
      </w:pPr>
    </w:p>
    <w:p w14:paraId="2D2FFC8C" w14:textId="24F84115" w:rsidR="00694C58" w:rsidRDefault="00694C58" w:rsidP="001427F6">
      <w:pPr>
        <w:jc w:val="both"/>
        <w:rPr>
          <w:rFonts w:ascii="Times New Roman" w:hAnsi="Times New Roman"/>
        </w:rPr>
      </w:pPr>
    </w:p>
    <w:p w14:paraId="62E57B46" w14:textId="77777777" w:rsidR="00694C58" w:rsidRDefault="00694C58" w:rsidP="001427F6">
      <w:pPr>
        <w:jc w:val="both"/>
        <w:rPr>
          <w:rFonts w:ascii="Times New Roman" w:hAnsi="Times New Roman"/>
        </w:rPr>
      </w:pPr>
    </w:p>
    <w:p w14:paraId="080665C6" w14:textId="6D79618C" w:rsidR="001427F6" w:rsidRDefault="001427F6" w:rsidP="001427F6">
      <w:pPr>
        <w:jc w:val="both"/>
        <w:rPr>
          <w:rFonts w:ascii="Times New Roman" w:hAnsi="Times New Roman"/>
        </w:rPr>
      </w:pPr>
      <w:r>
        <w:rPr>
          <w:rFonts w:ascii="Times New Roman" w:hAnsi="Times New Roman"/>
        </w:rPr>
        <w:lastRenderedPageBreak/>
        <w:t>Inputs</w:t>
      </w:r>
      <w:r w:rsidR="00694C58">
        <w:rPr>
          <w:rFonts w:ascii="Times New Roman" w:hAnsi="Times New Roman"/>
        </w:rPr>
        <w:t xml:space="preserve"> Needed</w:t>
      </w:r>
    </w:p>
    <w:p w14:paraId="4492318C" w14:textId="76FCEA12" w:rsidR="00694C58" w:rsidRDefault="00694C58" w:rsidP="00694C58">
      <w:pPr>
        <w:pStyle w:val="ListParagraph"/>
        <w:numPr>
          <w:ilvl w:val="0"/>
          <w:numId w:val="2"/>
        </w:numPr>
        <w:jc w:val="both"/>
        <w:rPr>
          <w:rFonts w:ascii="Times New Roman" w:hAnsi="Times New Roman"/>
          <w:lang w:val="es-ES"/>
        </w:rPr>
      </w:pPr>
      <w:proofErr w:type="spellStart"/>
      <w:r w:rsidRPr="00694C58">
        <w:rPr>
          <w:rFonts w:ascii="Times New Roman" w:hAnsi="Times New Roman"/>
          <w:lang w:val="es-ES"/>
        </w:rPr>
        <w:t>Scenarios</w:t>
      </w:r>
      <w:proofErr w:type="spellEnd"/>
      <w:r w:rsidRPr="00694C58">
        <w:rPr>
          <w:rFonts w:ascii="Times New Roman" w:hAnsi="Times New Roman"/>
          <w:lang w:val="es-ES"/>
        </w:rPr>
        <w:t xml:space="preserve"> – w, w/o U</w:t>
      </w:r>
      <w:r>
        <w:rPr>
          <w:rFonts w:ascii="Times New Roman" w:hAnsi="Times New Roman"/>
          <w:lang w:val="es-ES"/>
        </w:rPr>
        <w:t>HI?</w:t>
      </w:r>
    </w:p>
    <w:p w14:paraId="661A4E20" w14:textId="77777777" w:rsidR="00B605C9" w:rsidRDefault="003E6243" w:rsidP="00694C58">
      <w:pPr>
        <w:pStyle w:val="ListParagraph"/>
        <w:numPr>
          <w:ilvl w:val="1"/>
          <w:numId w:val="2"/>
        </w:numPr>
        <w:jc w:val="both"/>
        <w:rPr>
          <w:rFonts w:ascii="Times New Roman" w:hAnsi="Times New Roman"/>
        </w:rPr>
      </w:pPr>
      <w:r w:rsidRPr="003E6243">
        <w:rPr>
          <w:rFonts w:ascii="Times New Roman" w:hAnsi="Times New Roman"/>
        </w:rPr>
        <w:t xml:space="preserve">Scope of Project: </w:t>
      </w:r>
    </w:p>
    <w:p w14:paraId="5FACB304" w14:textId="2A594EDC" w:rsidR="00694C58" w:rsidRDefault="00B605C9" w:rsidP="00B605C9">
      <w:pPr>
        <w:pStyle w:val="ListParagraph"/>
        <w:numPr>
          <w:ilvl w:val="2"/>
          <w:numId w:val="2"/>
        </w:numPr>
        <w:jc w:val="both"/>
        <w:rPr>
          <w:rFonts w:ascii="Times New Roman" w:hAnsi="Times New Roman"/>
        </w:rPr>
      </w:pPr>
      <w:r>
        <w:rPr>
          <w:rFonts w:ascii="Times New Roman" w:hAnsi="Times New Roman"/>
        </w:rPr>
        <w:t>Base year</w:t>
      </w:r>
      <w:r w:rsidR="00BF0EFB">
        <w:rPr>
          <w:rFonts w:ascii="Times New Roman" w:hAnsi="Times New Roman"/>
        </w:rPr>
        <w:t xml:space="preserve"> (2008)</w:t>
      </w:r>
    </w:p>
    <w:p w14:paraId="74E6F719" w14:textId="6F841A84" w:rsidR="00B605C9" w:rsidRDefault="00B605C9" w:rsidP="00B605C9">
      <w:pPr>
        <w:pStyle w:val="ListParagraph"/>
        <w:numPr>
          <w:ilvl w:val="2"/>
          <w:numId w:val="2"/>
        </w:numPr>
        <w:jc w:val="both"/>
        <w:rPr>
          <w:rFonts w:ascii="Times New Roman" w:hAnsi="Times New Roman"/>
        </w:rPr>
      </w:pPr>
      <w:r>
        <w:rPr>
          <w:rFonts w:ascii="Times New Roman" w:hAnsi="Times New Roman"/>
        </w:rPr>
        <w:t>Future year without UHI</w:t>
      </w:r>
      <w:r w:rsidR="00BF0EFB">
        <w:rPr>
          <w:rFonts w:ascii="Times New Roman" w:hAnsi="Times New Roman"/>
        </w:rPr>
        <w:t xml:space="preserve"> (2018)</w:t>
      </w:r>
    </w:p>
    <w:p w14:paraId="5F42E31B" w14:textId="40CFED3B" w:rsidR="00B605C9" w:rsidRPr="003E6243" w:rsidRDefault="00B605C9" w:rsidP="00B605C9">
      <w:pPr>
        <w:pStyle w:val="ListParagraph"/>
        <w:numPr>
          <w:ilvl w:val="2"/>
          <w:numId w:val="2"/>
        </w:numPr>
        <w:jc w:val="both"/>
        <w:rPr>
          <w:rFonts w:ascii="Times New Roman" w:hAnsi="Times New Roman"/>
        </w:rPr>
      </w:pPr>
      <w:r>
        <w:rPr>
          <w:rFonts w:ascii="Times New Roman" w:hAnsi="Times New Roman"/>
        </w:rPr>
        <w:t>Future year with UHI</w:t>
      </w:r>
    </w:p>
    <w:p w14:paraId="5B8666D9" w14:textId="3A5C4388" w:rsidR="00694C58" w:rsidRPr="003E6243" w:rsidRDefault="003E6243" w:rsidP="00694C58">
      <w:pPr>
        <w:pStyle w:val="ListParagraph"/>
        <w:numPr>
          <w:ilvl w:val="1"/>
          <w:numId w:val="2"/>
        </w:numPr>
        <w:jc w:val="both"/>
        <w:rPr>
          <w:rFonts w:ascii="Times New Roman" w:hAnsi="Times New Roman"/>
        </w:rPr>
      </w:pPr>
      <w:r w:rsidRPr="003E6243">
        <w:rPr>
          <w:rFonts w:ascii="Times New Roman" w:hAnsi="Times New Roman"/>
        </w:rPr>
        <w:t>Beyond the scope of t</w:t>
      </w:r>
      <w:r>
        <w:rPr>
          <w:rFonts w:ascii="Times New Roman" w:hAnsi="Times New Roman"/>
        </w:rPr>
        <w:t xml:space="preserve">he </w:t>
      </w:r>
    </w:p>
    <w:p w14:paraId="1A0608D1" w14:textId="71B1CCFB" w:rsidR="00694C58" w:rsidRDefault="00694C58" w:rsidP="00694C58">
      <w:pPr>
        <w:pStyle w:val="ListParagraph"/>
        <w:numPr>
          <w:ilvl w:val="0"/>
          <w:numId w:val="2"/>
        </w:numPr>
        <w:jc w:val="both"/>
        <w:rPr>
          <w:rFonts w:ascii="Times New Roman" w:hAnsi="Times New Roman"/>
        </w:rPr>
      </w:pPr>
      <w:r>
        <w:rPr>
          <w:rFonts w:ascii="Times New Roman" w:hAnsi="Times New Roman"/>
        </w:rPr>
        <w:t>Spatial Scope</w:t>
      </w:r>
      <w:r w:rsidR="003E6243">
        <w:rPr>
          <w:rFonts w:ascii="Times New Roman" w:hAnsi="Times New Roman"/>
        </w:rPr>
        <w:t>:</w:t>
      </w:r>
    </w:p>
    <w:p w14:paraId="329ED2EB" w14:textId="02A104F5" w:rsidR="00B605C9" w:rsidRDefault="00B605C9" w:rsidP="00B605C9">
      <w:pPr>
        <w:pStyle w:val="ListParagraph"/>
        <w:numPr>
          <w:ilvl w:val="1"/>
          <w:numId w:val="2"/>
        </w:numPr>
        <w:jc w:val="both"/>
        <w:rPr>
          <w:rFonts w:ascii="Times New Roman" w:hAnsi="Times New Roman"/>
        </w:rPr>
      </w:pPr>
      <w:r>
        <w:rPr>
          <w:rFonts w:ascii="Times New Roman" w:hAnsi="Times New Roman"/>
        </w:rPr>
        <w:t>Consider gridded vs.</w:t>
      </w:r>
    </w:p>
    <w:p w14:paraId="501ACC51" w14:textId="0DAD96B9" w:rsidR="00B605C9" w:rsidRDefault="00B605C9" w:rsidP="00B605C9">
      <w:pPr>
        <w:pStyle w:val="ListParagraph"/>
        <w:numPr>
          <w:ilvl w:val="1"/>
          <w:numId w:val="2"/>
        </w:numPr>
        <w:jc w:val="both"/>
        <w:rPr>
          <w:rFonts w:ascii="Times New Roman" w:hAnsi="Times New Roman"/>
        </w:rPr>
      </w:pPr>
      <w:r>
        <w:rPr>
          <w:rFonts w:ascii="Times New Roman" w:hAnsi="Times New Roman"/>
        </w:rPr>
        <w:t xml:space="preserve">Spatial polygons (Cities, counties, </w:t>
      </w:r>
      <w:r w:rsidR="008D54D1">
        <w:rPr>
          <w:rFonts w:ascii="Times New Roman" w:hAnsi="Times New Roman"/>
        </w:rPr>
        <w:t xml:space="preserve">states, </w:t>
      </w:r>
      <w:r>
        <w:rPr>
          <w:rFonts w:ascii="Times New Roman" w:hAnsi="Times New Roman"/>
        </w:rPr>
        <w:t>Land cover maps w/ urban area)</w:t>
      </w:r>
    </w:p>
    <w:p w14:paraId="577BE43D" w14:textId="1C4AEB80" w:rsidR="0009713D" w:rsidRPr="00B605C9" w:rsidRDefault="0009713D" w:rsidP="00B605C9">
      <w:pPr>
        <w:pStyle w:val="ListParagraph"/>
        <w:numPr>
          <w:ilvl w:val="1"/>
          <w:numId w:val="2"/>
        </w:numPr>
        <w:jc w:val="both"/>
        <w:rPr>
          <w:rFonts w:ascii="Times New Roman" w:hAnsi="Times New Roman"/>
        </w:rPr>
      </w:pPr>
      <w:r>
        <w:rPr>
          <w:rFonts w:ascii="Times New Roman" w:hAnsi="Times New Roman"/>
        </w:rPr>
        <w:t>LULC maps for 2008 and 2018 gridded</w:t>
      </w:r>
    </w:p>
    <w:p w14:paraId="64A02374" w14:textId="107D623D" w:rsidR="00694C58" w:rsidRDefault="00694C58" w:rsidP="00694C58">
      <w:pPr>
        <w:pStyle w:val="ListParagraph"/>
        <w:numPr>
          <w:ilvl w:val="0"/>
          <w:numId w:val="2"/>
        </w:numPr>
        <w:jc w:val="both"/>
        <w:rPr>
          <w:rFonts w:ascii="Times New Roman" w:hAnsi="Times New Roman"/>
        </w:rPr>
      </w:pPr>
      <w:r>
        <w:rPr>
          <w:rFonts w:ascii="Times New Roman" w:hAnsi="Times New Roman"/>
        </w:rPr>
        <w:t>Temperature gridded</w:t>
      </w:r>
    </w:p>
    <w:p w14:paraId="352E7981" w14:textId="5C429E2A" w:rsidR="00694C58" w:rsidRDefault="00694C58" w:rsidP="00694C58">
      <w:pPr>
        <w:pStyle w:val="ListParagraph"/>
        <w:numPr>
          <w:ilvl w:val="0"/>
          <w:numId w:val="2"/>
        </w:numPr>
        <w:jc w:val="both"/>
        <w:rPr>
          <w:rFonts w:ascii="Times New Roman" w:hAnsi="Times New Roman"/>
        </w:rPr>
      </w:pPr>
      <w:r>
        <w:rPr>
          <w:rFonts w:ascii="Times New Roman" w:hAnsi="Times New Roman"/>
        </w:rPr>
        <w:t xml:space="preserve">HDD/CDD </w:t>
      </w:r>
      <w:r w:rsidR="009A6925">
        <w:rPr>
          <w:rFonts w:ascii="Times New Roman" w:hAnsi="Times New Roman"/>
        </w:rPr>
        <w:t>–</w:t>
      </w:r>
      <w:r>
        <w:rPr>
          <w:rFonts w:ascii="Times New Roman" w:hAnsi="Times New Roman"/>
        </w:rPr>
        <w:t xml:space="preserve"> </w:t>
      </w:r>
      <w:r w:rsidR="009A6925">
        <w:rPr>
          <w:rFonts w:ascii="Times New Roman" w:hAnsi="Times New Roman"/>
        </w:rPr>
        <w:t xml:space="preserve">thermal </w:t>
      </w:r>
      <w:r>
        <w:rPr>
          <w:rFonts w:ascii="Times New Roman" w:hAnsi="Times New Roman"/>
        </w:rPr>
        <w:t>comfortable temperature, per region</w:t>
      </w:r>
    </w:p>
    <w:p w14:paraId="081879A5" w14:textId="39FA2A32" w:rsidR="00694C58" w:rsidRDefault="00694C58" w:rsidP="00694C58">
      <w:pPr>
        <w:pStyle w:val="ListParagraph"/>
        <w:numPr>
          <w:ilvl w:val="0"/>
          <w:numId w:val="2"/>
        </w:numPr>
        <w:jc w:val="both"/>
        <w:rPr>
          <w:rFonts w:ascii="Times New Roman" w:hAnsi="Times New Roman"/>
        </w:rPr>
      </w:pPr>
      <w:r>
        <w:rPr>
          <w:rFonts w:ascii="Times New Roman" w:hAnsi="Times New Roman"/>
        </w:rPr>
        <w:t>Floorspace/Area/Average Building heights</w:t>
      </w:r>
    </w:p>
    <w:p w14:paraId="4D319DE6" w14:textId="5101A3A1" w:rsidR="00BF0EFB" w:rsidRDefault="00BF0EFB" w:rsidP="00BF0EFB">
      <w:pPr>
        <w:pStyle w:val="ListParagraph"/>
        <w:numPr>
          <w:ilvl w:val="1"/>
          <w:numId w:val="2"/>
        </w:numPr>
        <w:jc w:val="both"/>
        <w:rPr>
          <w:rFonts w:ascii="Times New Roman" w:hAnsi="Times New Roman"/>
        </w:rPr>
      </w:pPr>
      <w:r>
        <w:rPr>
          <w:rFonts w:ascii="Times New Roman" w:hAnsi="Times New Roman"/>
        </w:rPr>
        <w:t>Hicham – Masterplan assumptions</w:t>
      </w:r>
    </w:p>
    <w:p w14:paraId="3E97536D" w14:textId="338636E9" w:rsidR="00BF0EFB" w:rsidRPr="00A94B2E" w:rsidRDefault="00BF0EFB" w:rsidP="00A94B2E">
      <w:pPr>
        <w:pStyle w:val="ListParagraph"/>
        <w:numPr>
          <w:ilvl w:val="1"/>
          <w:numId w:val="2"/>
        </w:numPr>
        <w:jc w:val="both"/>
        <w:rPr>
          <w:rFonts w:ascii="Times New Roman" w:hAnsi="Times New Roman"/>
        </w:rPr>
      </w:pPr>
      <w:r>
        <w:rPr>
          <w:rFonts w:ascii="Times New Roman" w:hAnsi="Times New Roman"/>
        </w:rPr>
        <w:t>Masterplans available for 2016, 2017</w:t>
      </w:r>
    </w:p>
    <w:p w14:paraId="06E816A0" w14:textId="0EA80F52" w:rsidR="00694C58" w:rsidRDefault="00694C58" w:rsidP="00694C58">
      <w:pPr>
        <w:pStyle w:val="ListParagraph"/>
        <w:numPr>
          <w:ilvl w:val="0"/>
          <w:numId w:val="2"/>
        </w:numPr>
        <w:jc w:val="both"/>
        <w:rPr>
          <w:rFonts w:ascii="Times New Roman" w:hAnsi="Times New Roman"/>
        </w:rPr>
      </w:pPr>
      <w:r>
        <w:rPr>
          <w:rFonts w:ascii="Times New Roman" w:hAnsi="Times New Roman"/>
        </w:rPr>
        <w:t>Building energy demands</w:t>
      </w:r>
    </w:p>
    <w:p w14:paraId="6060870B" w14:textId="1FB9BE0C" w:rsidR="00316997" w:rsidRDefault="00316997" w:rsidP="00316997">
      <w:pPr>
        <w:jc w:val="both"/>
        <w:rPr>
          <w:rFonts w:ascii="Times New Roman" w:hAnsi="Times New Roman"/>
        </w:rPr>
      </w:pPr>
    </w:p>
    <w:p w14:paraId="33BC8EFA" w14:textId="77777777" w:rsidR="00316997" w:rsidRPr="00316997" w:rsidRDefault="00316997" w:rsidP="00316997">
      <w:pPr>
        <w:jc w:val="both"/>
        <w:rPr>
          <w:rFonts w:ascii="Times New Roman" w:hAnsi="Times New Roman"/>
        </w:rPr>
      </w:pPr>
    </w:p>
    <w:p w14:paraId="42788C02" w14:textId="77777777" w:rsidR="001427F6" w:rsidRPr="001427F6" w:rsidRDefault="001427F6" w:rsidP="001427F6">
      <w:pPr>
        <w:jc w:val="both"/>
        <w:rPr>
          <w:rFonts w:ascii="Times New Roman" w:hAnsi="Times New Roman"/>
        </w:rPr>
      </w:pPr>
    </w:p>
    <w:p w14:paraId="0470C5CB" w14:textId="43207DCA" w:rsidR="008D74EA" w:rsidRDefault="008D74EA"/>
    <w:p w14:paraId="50868107" w14:textId="5310D0CB" w:rsidR="00B17A07" w:rsidRDefault="00B17A07"/>
    <w:p w14:paraId="4726E120" w14:textId="77777777" w:rsidR="00B17A07" w:rsidRDefault="00B17A07"/>
    <w:sectPr w:rsidR="00B17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E706D"/>
    <w:multiLevelType w:val="hybridMultilevel"/>
    <w:tmpl w:val="D60E6A42"/>
    <w:lvl w:ilvl="0" w:tplc="7158CEBE">
      <w:start w:val="2201"/>
      <w:numFmt w:val="bullet"/>
      <w:lvlText w:val="-"/>
      <w:lvlJc w:val="left"/>
      <w:pPr>
        <w:ind w:left="720" w:hanging="360"/>
      </w:pPr>
      <w:rPr>
        <w:rFonts w:ascii="Times New Roman" w:eastAsia="Time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EB0E01"/>
    <w:multiLevelType w:val="hybridMultilevel"/>
    <w:tmpl w:val="CE9A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D9"/>
    <w:rsid w:val="00062D6E"/>
    <w:rsid w:val="0009713D"/>
    <w:rsid w:val="001427F6"/>
    <w:rsid w:val="00316997"/>
    <w:rsid w:val="003E6243"/>
    <w:rsid w:val="004C0B86"/>
    <w:rsid w:val="005F19D9"/>
    <w:rsid w:val="00694C58"/>
    <w:rsid w:val="0070017A"/>
    <w:rsid w:val="008D54D1"/>
    <w:rsid w:val="008D74EA"/>
    <w:rsid w:val="009A6925"/>
    <w:rsid w:val="00A94B2E"/>
    <w:rsid w:val="00AB4D64"/>
    <w:rsid w:val="00B17A07"/>
    <w:rsid w:val="00B605C9"/>
    <w:rsid w:val="00BF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6F97"/>
  <w15:chartTrackingRefBased/>
  <w15:docId w15:val="{6889B3E5-B312-4F2D-A2F5-0B3D65D3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6E"/>
    <w:pPr>
      <w:spacing w:after="0" w:line="240" w:lineRule="auto"/>
    </w:pPr>
    <w:rPr>
      <w:rFonts w:ascii="New York" w:eastAsia="Times"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62D6E"/>
    <w:rPr>
      <w:color w:val="0000FF"/>
      <w:u w:val="single"/>
    </w:rPr>
  </w:style>
  <w:style w:type="table" w:styleId="TableGrid">
    <w:name w:val="Table Grid"/>
    <w:basedOn w:val="TableNormal"/>
    <w:rsid w:val="00062D6E"/>
    <w:pPr>
      <w:spacing w:after="0" w:line="240" w:lineRule="auto"/>
    </w:pPr>
    <w:rPr>
      <w:rFonts w:ascii="Times New Roman" w:eastAsia="Times New Roman" w:hAnsi="Times New Roman" w:cs="Times New Roman"/>
      <w:sz w:val="20"/>
      <w:szCs w:val="20"/>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D6E"/>
    <w:pPr>
      <w:ind w:left="720"/>
      <w:contextualSpacing/>
    </w:pPr>
    <w:rPr>
      <w:rFonts w:ascii="Calibri" w:eastAsia="Times New Roman" w:hAnsi="Calibri"/>
      <w:szCs w:val="24"/>
      <w:lang w:eastAsia="ja-JP"/>
    </w:rPr>
  </w:style>
  <w:style w:type="paragraph" w:customStyle="1" w:styleId="Equation">
    <w:name w:val="Equation"/>
    <w:basedOn w:val="BodyText"/>
    <w:uiPriority w:val="2"/>
    <w:qFormat/>
    <w:rsid w:val="00062D6E"/>
    <w:pPr>
      <w:spacing w:before="240" w:after="0"/>
    </w:pPr>
    <w:rPr>
      <w:rFonts w:asciiTheme="minorHAnsi" w:eastAsia="Times New Roman" w:hAnsiTheme="minorHAnsi"/>
      <w:sz w:val="22"/>
      <w:szCs w:val="22"/>
    </w:rPr>
  </w:style>
  <w:style w:type="paragraph" w:customStyle="1" w:styleId="wherestatement">
    <w:name w:val="where statement"/>
    <w:basedOn w:val="Normal"/>
    <w:qFormat/>
    <w:rsid w:val="00062D6E"/>
    <w:pPr>
      <w:tabs>
        <w:tab w:val="right" w:pos="1530"/>
        <w:tab w:val="left" w:pos="1710"/>
        <w:tab w:val="left" w:pos="2070"/>
      </w:tabs>
      <w:ind w:left="2074" w:hanging="2074"/>
    </w:pPr>
    <w:rPr>
      <w:rFonts w:asciiTheme="minorHAnsi" w:eastAsia="Times New Roman" w:hAnsiTheme="minorHAnsi"/>
      <w:sz w:val="22"/>
      <w:szCs w:val="22"/>
    </w:rPr>
  </w:style>
  <w:style w:type="paragraph" w:styleId="BodyText">
    <w:name w:val="Body Text"/>
    <w:basedOn w:val="Normal"/>
    <w:link w:val="BodyTextChar"/>
    <w:uiPriority w:val="99"/>
    <w:semiHidden/>
    <w:unhideWhenUsed/>
    <w:rsid w:val="00062D6E"/>
    <w:pPr>
      <w:spacing w:after="120"/>
    </w:pPr>
  </w:style>
  <w:style w:type="character" w:customStyle="1" w:styleId="BodyTextChar">
    <w:name w:val="Body Text Char"/>
    <w:basedOn w:val="DefaultParagraphFont"/>
    <w:link w:val="BodyText"/>
    <w:uiPriority w:val="99"/>
    <w:semiHidden/>
    <w:rsid w:val="00062D6E"/>
    <w:rPr>
      <w:rFonts w:ascii="New York" w:eastAsia="Times" w:hAnsi="New York"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c.ncep.noaa.gov/products/analysis_monitoring/cdus/degree_days/ddayexp.shtml" TargetMode="External"/><Relationship Id="rId3" Type="http://schemas.openxmlformats.org/officeDocument/2006/relationships/settings" Target="settings.xml"/><Relationship Id="rId7" Type="http://schemas.openxmlformats.org/officeDocument/2006/relationships/hyperlink" Target="https://doi.org/10.1038/s41467-021-2178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584-013-0772-x" TargetMode="External"/><Relationship Id="rId5" Type="http://schemas.openxmlformats.org/officeDocument/2006/relationships/hyperlink" Target="https://doi.org/10.1016/j.energy.2012.08.0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17</cp:revision>
  <dcterms:created xsi:type="dcterms:W3CDTF">2022-04-05T14:20:00Z</dcterms:created>
  <dcterms:modified xsi:type="dcterms:W3CDTF">2022-04-05T15:49:00Z</dcterms:modified>
</cp:coreProperties>
</file>