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4"/>
        </w:rPr>
        <w:t>PREVISÃO DA CARGA DE RUPTURA EM VIGAS DE CONCRETO ARMADO</w:t>
        <w:br/>
        <w:t>COM REDES NEURAIS MULTILAYER PERCEPTRON</w:t>
      </w:r>
    </w:p>
    <w:p>
      <w:pPr>
        <w:spacing w:before="120" w:after="40"/>
        <w:jc w:val="left"/>
      </w:pPr>
      <w:r>
        <w:rPr>
          <w:rFonts w:ascii="Times New Roman" w:hAnsi="Times New Roman"/>
          <w:b/>
          <w:i w:val="0"/>
          <w:sz w:val="24"/>
        </w:rPr>
        <w:t>Maria Luiza Almeida Xavier</w:t>
      </w:r>
      <w:r>
        <w:rPr>
          <w:rFonts w:ascii="Times New Roman" w:hAnsi="Times New Roman"/>
          <w:b w:val="0"/>
          <w:i w:val="0"/>
          <w:sz w:val="24"/>
        </w:rPr>
        <w:t>1 — maria.luiza.a.xavier@gmail.com</w:t>
        <w:br/>
      </w:r>
      <w:r>
        <w:rPr>
          <w:rFonts w:ascii="Times New Roman" w:hAnsi="Times New Roman"/>
          <w:b/>
          <w:i w:val="0"/>
          <w:sz w:val="24"/>
        </w:rPr>
        <w:t>Jordana Gabriela Fernandes</w:t>
      </w:r>
      <w:r>
        <w:rPr>
          <w:rFonts w:ascii="Times New Roman" w:hAnsi="Times New Roman"/>
          <w:b w:val="0"/>
          <w:i w:val="0"/>
          <w:sz w:val="24"/>
        </w:rPr>
        <w:t>1 — jordana.funai@gmail.com</w:t>
        <w:br/>
      </w:r>
      <w:r>
        <w:rPr>
          <w:rFonts w:ascii="Times New Roman" w:hAnsi="Times New Roman"/>
          <w:b/>
          <w:i w:val="0"/>
          <w:sz w:val="24"/>
        </w:rPr>
        <w:t>Rayre Janaína Vieira Silva</w:t>
      </w:r>
      <w:r>
        <w:rPr>
          <w:rFonts w:ascii="Times New Roman" w:hAnsi="Times New Roman"/>
          <w:b w:val="0"/>
          <w:i w:val="0"/>
          <w:sz w:val="24"/>
        </w:rPr>
        <w:t>1 — rayrejanaina2@gmail.com</w:t>
        <w:br/>
      </w:r>
    </w:p>
    <w:p>
      <w:pPr>
        <w:spacing w:after="240"/>
        <w:jc w:val="left"/>
      </w:pPr>
      <w:r>
        <w:rPr>
          <w:rFonts w:ascii="Times New Roman" w:hAnsi="Times New Roman"/>
          <w:b w:val="0"/>
          <w:i w:val="0"/>
          <w:sz w:val="22"/>
        </w:rPr>
        <w:t>¹Universidade Estadual de Montes Claros, UNIMONTES — Montes Claros, MG, Brasil</w:t>
      </w:r>
    </w:p>
    <w:p>
      <w:pPr>
        <w:spacing w:after="120"/>
        <w:jc w:val="both"/>
      </w:pPr>
      <w:r>
        <w:rPr>
          <w:rFonts w:ascii="Times New Roman" w:hAnsi="Times New Roman"/>
          <w:b/>
          <w:i/>
          <w:sz w:val="24"/>
        </w:rPr>
        <w:t xml:space="preserve">Resumo. </w:t>
      </w:r>
      <w:r>
        <w:rPr>
          <w:rFonts w:ascii="Times New Roman" w:hAnsi="Times New Roman"/>
          <w:b w:val="0"/>
          <w:i/>
          <w:sz w:val="24"/>
        </w:rPr>
        <w:t>A previsão da capacidade de carga de vigas de concreto armado por equações normativas apresenta limitações decorrentes de hipóteses simplificadoras que negligenciam interações não lineares entre variáveis estruturais. Este trabalho propõe a aplicação de uma rede neural Multilayer Perceptron (MLP) para estimar a carga de ruptura (P, em kN) de vigas de concreto armado a partir da resistência à compressão do concreto (fc), da taxa de armadura (ρ) e da altura útil (d). A arquitetura empregada possui três neurônios de entrada, duas camadas ocultas com 16 e 8 neurônios (ativação tangente hiperbólica) e saída linear. Os dados foram normalizados pelo método min-max antes do treinamento com otimizador Adam. Sobre uma base sintética de dez amostras, o modelo obteve coeficiente de determinação R² = 0,9998, erro quadrático médio RMSE = 0,54 kN e erro absoluto médio MAE = 0,44 kN, com desvios percentuais máximos inferiores a 1%. Os resultados evidenciam que a MLP captura com precisão a não linearidade da relação fc·d, validando sua aplicação em contextos de ensaios não destrutivos em estruturas de concreto armado.</w:t>
      </w:r>
    </w:p>
    <w:p>
      <w:pPr>
        <w:spacing w:after="360"/>
        <w:jc w:val="left"/>
      </w:pPr>
      <w:r>
        <w:rPr>
          <w:rFonts w:ascii="Times New Roman" w:hAnsi="Times New Roman"/>
          <w:b/>
          <w:i/>
          <w:sz w:val="24"/>
        </w:rPr>
        <w:t xml:space="preserve">Palavras-chave: </w:t>
      </w:r>
      <w:r>
        <w:rPr>
          <w:rFonts w:ascii="Times New Roman" w:hAnsi="Times New Roman"/>
          <w:b w:val="0"/>
          <w:i/>
          <w:sz w:val="24"/>
        </w:rPr>
        <w:t>Redes neurais artificiais, Multilayer Perceptron, concreto armado, carga de ruptura, aprendizado de máquina.</w:t>
      </w:r>
    </w:p>
    <w:p/>
    <w:p>
      <w:pPr>
        <w:spacing w:before="240" w:after="120"/>
        <w:jc w:val="left"/>
      </w:pPr>
      <w:r>
        <w:rPr>
          <w:rFonts w:ascii="Times New Roman" w:hAnsi="Times New Roman"/>
          <w:b/>
          <w:i w:val="0"/>
          <w:sz w:val="24"/>
        </w:rPr>
        <w:t>1.  INTRODUÇÃO</w:t>
      </w:r>
    </w:p>
    <w:p>
      <w:pPr>
        <w:spacing w:before="0" w:after="0"/>
        <w:ind w:firstLine="425"/>
        <w:jc w:val="both"/>
      </w:pPr>
      <w:r>
        <w:rPr>
          <w:rFonts w:ascii="Times New Roman" w:hAnsi="Times New Roman"/>
          <w:b w:val="0"/>
          <w:i w:val="0"/>
          <w:sz w:val="24"/>
        </w:rPr>
        <w:t>A estimativa precisa da carga de ruptura em vigas de concreto armado é condição fundamental para o dimensionamento seguro de estruturas civis. As normas técnicas vigentes — entre elas a NBR 6118:2023 e o ACI 318 — oferecem equações semi-empíricas calibradas para configurações típicas de seção e carregamento; contudo, essas formulações introduzem hipóteses simplificadoras que limitam sua acurácia diante de geometrias e taxas de armadura não convencionais. Conforme observado por Özyüksel Çiftçioğlu et al. (2025):</w:t>
      </w:r>
    </w:p>
    <w:p>
      <w:pPr>
        <w:spacing w:before="120" w:after="120"/>
        <w:ind w:left="2268"/>
        <w:jc w:val="both"/>
      </w:pPr>
      <w:r>
        <w:rPr>
          <w:rFonts w:ascii="Times New Roman" w:hAnsi="Times New Roman"/>
          <w:b w:val="0"/>
          <w:i/>
          <w:sz w:val="22"/>
        </w:rPr>
        <w:t>"Most empirical formulations embedded in current design standards are calibrated primarily for rectangular cross-sections and do not fully account for the geometric and mechanical complexities of real structural elements."</w:t>
      </w:r>
    </w:p>
    <w:p>
      <w:pPr>
        <w:spacing w:before="0" w:after="0"/>
        <w:ind w:firstLine="425"/>
        <w:jc w:val="both"/>
      </w:pPr>
      <w:r>
        <w:rPr>
          <w:rFonts w:ascii="Times New Roman" w:hAnsi="Times New Roman"/>
          <w:b w:val="0"/>
          <w:i w:val="0"/>
          <w:sz w:val="24"/>
        </w:rPr>
        <w:t>Nesse contexto, técnicas de aprendizado de máquina (machine learning, ML) têm emergido como alternativas promissoras. De acordo com Gamil (2023):</w:t>
      </w:r>
    </w:p>
    <w:p>
      <w:pPr>
        <w:spacing w:before="120" w:after="120"/>
        <w:ind w:left="2268"/>
        <w:jc w:val="both"/>
      </w:pPr>
      <w:r>
        <w:rPr>
          <w:rFonts w:ascii="Times New Roman" w:hAnsi="Times New Roman"/>
          <w:b w:val="0"/>
          <w:i/>
          <w:sz w:val="22"/>
        </w:rPr>
        <w:t>"A wide range of concrete technology applications has seen the emergence of ML as a promising forecasting tool, making it a potential alternative for often employed empirical models and time-saving methods."</w:t>
      </w:r>
    </w:p>
    <w:p>
      <w:pPr>
        <w:spacing w:before="0" w:after="0"/>
        <w:ind w:firstLine="425"/>
        <w:jc w:val="both"/>
      </w:pPr>
      <w:r>
        <w:rPr>
          <w:rFonts w:ascii="Times New Roman" w:hAnsi="Times New Roman"/>
          <w:b w:val="0"/>
          <w:i w:val="0"/>
          <w:sz w:val="24"/>
        </w:rPr>
        <w:t>Em particular, como destacam Khan et al. (2023):</w:t>
      </w:r>
    </w:p>
    <w:p>
      <w:pPr>
        <w:spacing w:before="120" w:after="120"/>
        <w:ind w:left="2268"/>
        <w:jc w:val="both"/>
      </w:pPr>
      <w:r>
        <w:rPr>
          <w:rFonts w:ascii="Times New Roman" w:hAnsi="Times New Roman"/>
          <w:b w:val="0"/>
          <w:i/>
          <w:sz w:val="22"/>
        </w:rPr>
        <w:t>"Machine learning (ML) can enhance precision in handling such intricate and complex scenarios that involve nonlinear interactions among concrete strength, reinforcement ratio and section geometry."</w:t>
      </w:r>
    </w:p>
    <w:p>
      <w:pPr>
        <w:spacing w:before="0" w:after="0"/>
        <w:ind w:firstLine="425"/>
        <w:jc w:val="both"/>
      </w:pPr>
      <w:r>
        <w:rPr>
          <w:rFonts w:ascii="Times New Roman" w:hAnsi="Times New Roman"/>
          <w:b w:val="0"/>
          <w:i w:val="0"/>
          <w:sz w:val="24"/>
        </w:rPr>
        <w:t>Estudos recentes demonstram que modelos de ML superam consistentemente as expressões normativas em tarefas de previsão estrutural. Yaseen (2023), ao comparar árvores M5, florestas aleatórias e máquinas de aprendizado extremo para previsão da resistência ao cisalhamento, constatou que</w:t>
      </w:r>
    </w:p>
    <w:p>
      <w:pPr>
        <w:spacing w:before="120" w:after="120"/>
        <w:ind w:left="2268"/>
        <w:jc w:val="both"/>
      </w:pPr>
      <w:r>
        <w:rPr>
          <w:rFonts w:ascii="Times New Roman" w:hAnsi="Times New Roman"/>
          <w:b w:val="0"/>
          <w:i/>
          <w:sz w:val="22"/>
        </w:rPr>
        <w:t>"The dataset includes beam width (b), effective depth (d), concrete compressive strength (f'c), reinforcement ratio (ρ) [...] the comparison analysis suggests that tree-based models gained excellent results in capturing nonlinear relationship of Vs based on limited input parameters."</w:t>
      </w:r>
    </w:p>
    <w:p>
      <w:pPr>
        <w:spacing w:before="0" w:after="0"/>
        <w:ind w:firstLine="425"/>
        <w:jc w:val="both"/>
      </w:pPr>
      <w:r>
        <w:rPr>
          <w:rFonts w:ascii="Times New Roman" w:hAnsi="Times New Roman"/>
          <w:b w:val="0"/>
          <w:i w:val="0"/>
          <w:sz w:val="24"/>
        </w:rPr>
        <w:t>Complementarmente, Özyüksel Çiftçioğlu et al. (2025) afirmam que "by uncovering hidden relationships and modeling nonlinear behaviors, ML techniques frequently surpass conventional analytical models in predicting shear strength". Este trabalho aplica uma rede MLP ao Problema 4 da disciplina Introdução à Modelagem Computacional do PPGMCS/UNIMONTES, cujo objetivo é modelar a carga máxima P (kN) suportada por vigas de concreto armado em função de fc, ρ e d a partir de dados sintéticos gerados com ruído gaussiano.</w:t>
      </w:r>
    </w:p>
    <w:p>
      <w:pPr>
        <w:spacing w:before="240" w:after="120"/>
        <w:jc w:val="left"/>
      </w:pPr>
      <w:r>
        <w:rPr>
          <w:rFonts w:ascii="Times New Roman" w:hAnsi="Times New Roman"/>
          <w:b/>
          <w:i w:val="0"/>
          <w:sz w:val="24"/>
        </w:rPr>
        <w:t>2.  FUNDAMENTOS TEÓRICOS</w:t>
      </w:r>
    </w:p>
    <w:p>
      <w:pPr>
        <w:spacing w:before="240" w:after="120"/>
        <w:jc w:val="left"/>
      </w:pPr>
      <w:r>
        <w:rPr>
          <w:rFonts w:ascii="Times New Roman" w:hAnsi="Times New Roman"/>
          <w:b/>
          <w:i w:val="0"/>
          <w:sz w:val="24"/>
        </w:rPr>
        <w:t>2.1  Rede neural Multilayer Perceptron</w:t>
      </w:r>
    </w:p>
    <w:p>
      <w:pPr>
        <w:spacing w:before="0" w:after="0"/>
        <w:ind w:firstLine="425"/>
        <w:jc w:val="both"/>
      </w:pPr>
      <w:r>
        <w:rPr>
          <w:rFonts w:ascii="Times New Roman" w:hAnsi="Times New Roman"/>
          <w:b w:val="0"/>
          <w:i w:val="0"/>
          <w:sz w:val="24"/>
        </w:rPr>
        <w:t>Uma MLP é composta por camadas de neurônios artificiais totalmente conectadas: uma camada de entrada, uma ou mais camadas ocultas e uma camada de saída. Cada neurônio j da camada l computa z = Σ w·a + b, onde w são os pesos sinápticos e b o viés; a ativação a = φ(z) é obtida pela função de ativação φ. O treinamento minimiza a função de custo (MSE) por retropropagação do gradiente.</w:t>
      </w:r>
    </w:p>
    <w:p>
      <w:pPr>
        <w:spacing w:before="240" w:after="120"/>
        <w:jc w:val="left"/>
      </w:pPr>
      <w:r>
        <w:rPr>
          <w:rFonts w:ascii="Times New Roman" w:hAnsi="Times New Roman"/>
          <w:b/>
          <w:i w:val="0"/>
          <w:sz w:val="24"/>
        </w:rPr>
        <w:t>2.2  Função de ativação tangente hiperbólica</w:t>
      </w:r>
    </w:p>
    <w:p>
      <w:pPr>
        <w:spacing w:before="0" w:after="0"/>
        <w:ind w:firstLine="425"/>
        <w:jc w:val="both"/>
      </w:pPr>
      <w:r>
        <w:rPr>
          <w:rFonts w:ascii="Times New Roman" w:hAnsi="Times New Roman"/>
          <w:b w:val="0"/>
          <w:i w:val="0"/>
          <w:sz w:val="24"/>
        </w:rPr>
        <w:t>A função tanh(z) = (eᶻ − e⁻ᶻ)/(eᶻ + e⁻ᶻ) mapeia a saída ao intervalo (−1, 1), produzindo gradientes mais suaves que a sigmoide e evitando saturação assimétrica. Para dados normalizados, essa função favorece a convergência e é preferível à ReLU em redes de regressão com entradas de escalas heterogêneas (MPa, %, cm).</w:t>
      </w:r>
    </w:p>
    <w:p>
      <w:pPr>
        <w:spacing w:before="240" w:after="120"/>
        <w:jc w:val="left"/>
      </w:pPr>
      <w:r>
        <w:rPr>
          <w:rFonts w:ascii="Times New Roman" w:hAnsi="Times New Roman"/>
          <w:b/>
          <w:i w:val="0"/>
          <w:sz w:val="24"/>
        </w:rPr>
        <w:t>2.3  Normalização e otimizador Adam</w:t>
      </w:r>
    </w:p>
    <w:p>
      <w:pPr>
        <w:spacing w:before="0" w:after="0"/>
        <w:ind w:firstLine="425"/>
        <w:jc w:val="both"/>
      </w:pPr>
      <w:r>
        <w:rPr>
          <w:rFonts w:ascii="Times New Roman" w:hAnsi="Times New Roman"/>
          <w:b w:val="0"/>
          <w:i w:val="0"/>
          <w:sz w:val="24"/>
        </w:rPr>
        <w:t>A normalização min-max reescala cada variável para [0, 1] segundo x' = (x − x_min)/(x_max − x_min), evitando saturação precoce dos neurônios. O otimizador Adam combina momentum de primeira e segunda ordem, adaptando a taxa de aprendizado individualmente para cada parâmetro, o que acelera a convergência em comparação ao gradiente descendente clássico.</w:t>
      </w:r>
    </w:p>
    <w:p>
      <w:pPr>
        <w:spacing w:before="240" w:after="120"/>
        <w:jc w:val="left"/>
      </w:pPr>
      <w:r>
        <w:rPr>
          <w:rFonts w:ascii="Times New Roman" w:hAnsi="Times New Roman"/>
          <w:b/>
          <w:i w:val="0"/>
          <w:sz w:val="24"/>
        </w:rPr>
        <w:t>3.  METODOLOGIA</w:t>
      </w:r>
    </w:p>
    <w:p>
      <w:pPr>
        <w:spacing w:before="240" w:after="120"/>
        <w:jc w:val="left"/>
      </w:pPr>
      <w:r>
        <w:rPr>
          <w:rFonts w:ascii="Times New Roman" w:hAnsi="Times New Roman"/>
          <w:b/>
          <w:i w:val="0"/>
          <w:sz w:val="24"/>
        </w:rPr>
        <w:t>3.1  Base de dados</w:t>
      </w:r>
    </w:p>
    <w:p>
      <w:pPr>
        <w:spacing w:before="0" w:after="0"/>
        <w:ind w:firstLine="425"/>
        <w:jc w:val="both"/>
      </w:pPr>
      <w:r>
        <w:rPr>
          <w:rFonts w:ascii="Times New Roman" w:hAnsi="Times New Roman"/>
          <w:b w:val="0"/>
          <w:i w:val="0"/>
          <w:sz w:val="24"/>
        </w:rPr>
        <w:t>A base de dados sintética do Problema 4 compreende n = 10 amostras geradas pela equação:</w:t>
      </w:r>
    </w:p>
    <w:p>
      <w:pPr>
        <w:spacing w:before="120" w:after="120"/>
        <w:jc w:val="center"/>
      </w:pPr>
      <w:r>
        <w:rPr>
          <w:rFonts w:ascii="Times New Roman" w:hAnsi="Times New Roman"/>
          <w:b w:val="0"/>
          <w:i/>
          <w:sz w:val="24"/>
        </w:rPr>
        <w:t>P = 0,35·fc + 12·ρ + 2,1·d − 0,02·fc·d + ε,   ε ~ N(0; 1,5)   (1)</w:t>
      </w:r>
    </w:p>
    <w:p>
      <w:pPr>
        <w:spacing w:before="0" w:after="0"/>
        <w:ind w:firstLine="425"/>
        <w:jc w:val="both"/>
      </w:pPr>
      <w:r>
        <w:rPr>
          <w:rFonts w:ascii="Times New Roman" w:hAnsi="Times New Roman"/>
          <w:b w:val="0"/>
          <w:i w:val="0"/>
          <w:sz w:val="24"/>
        </w:rPr>
        <w:t>onde fc ∈ [25; 50] MPa é a resistência à compressão, ρ ∈ [0,5%; 2,5%] é a razão aço/concreto e d ∈ [30; 60] cm é a altura útil. Os dados e resultados são apresentados na Tabela 1.</w:t>
      </w:r>
    </w:p>
    <w:p/>
    <w:p>
      <w:pPr>
        <w:spacing w:after="80"/>
        <w:jc w:val="center"/>
      </w:pPr>
      <w:r>
        <w:rPr>
          <w:rFonts w:ascii="Times New Roman" w:hAnsi="Times New Roman"/>
          <w:b w:val="0"/>
          <w:i w:val="0"/>
          <w:sz w:val="22"/>
        </w:rPr>
        <w:t>Tabela 1 — Base de dados: carga de ruptura em vigas de concreto (Problema 4)</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i w:val="0"/>
                <w:sz w:val="20"/>
              </w:rPr>
              <w:t>fc (MPa)</w:t>
            </w:r>
          </w:p>
        </w:tc>
        <w:tc>
          <w:tcPr>
            <w:tcW w:type="dxa" w:w="1568"/>
          </w:tcPr>
          <w:p>
            <w:pPr>
              <w:jc w:val="center"/>
            </w:pPr>
            <w:r>
              <w:rPr>
                <w:rFonts w:ascii="Times New Roman" w:hAnsi="Times New Roman"/>
                <w:b/>
                <w:i w:val="0"/>
                <w:sz w:val="20"/>
              </w:rPr>
              <w:t>ρ (%)</w:t>
            </w:r>
          </w:p>
        </w:tc>
        <w:tc>
          <w:tcPr>
            <w:tcW w:type="dxa" w:w="1568"/>
          </w:tcPr>
          <w:p>
            <w:pPr>
              <w:jc w:val="center"/>
            </w:pPr>
            <w:r>
              <w:rPr>
                <w:rFonts w:ascii="Times New Roman" w:hAnsi="Times New Roman"/>
                <w:b/>
                <w:i w:val="0"/>
                <w:sz w:val="20"/>
              </w:rPr>
              <w:t>d (cm)</w:t>
            </w:r>
          </w:p>
        </w:tc>
        <w:tc>
          <w:tcPr>
            <w:tcW w:type="dxa" w:w="1568"/>
          </w:tcPr>
          <w:p>
            <w:pPr>
              <w:jc w:val="center"/>
            </w:pPr>
            <w:r>
              <w:rPr>
                <w:rFonts w:ascii="Times New Roman" w:hAnsi="Times New Roman"/>
                <w:b/>
                <w:i w:val="0"/>
                <w:sz w:val="20"/>
              </w:rPr>
              <w:t>P real (kN)</w:t>
            </w:r>
          </w:p>
        </w:tc>
        <w:tc>
          <w:tcPr>
            <w:tcW w:type="dxa" w:w="1568"/>
          </w:tcPr>
          <w:p>
            <w:pPr>
              <w:jc w:val="center"/>
            </w:pPr>
            <w:r>
              <w:rPr>
                <w:rFonts w:ascii="Times New Roman" w:hAnsi="Times New Roman"/>
                <w:b/>
                <w:i w:val="0"/>
                <w:sz w:val="20"/>
              </w:rPr>
              <w:t>P previsto (kN)</w:t>
            </w:r>
          </w:p>
        </w:tc>
        <w:tc>
          <w:tcPr>
            <w:tcW w:type="dxa" w:w="1568"/>
          </w:tcPr>
          <w:p>
            <w:pPr>
              <w:jc w:val="center"/>
            </w:pPr>
            <w:r>
              <w:rPr>
                <w:rFonts w:ascii="Times New Roman" w:hAnsi="Times New Roman"/>
                <w:b/>
                <w:i w:val="0"/>
                <w:sz w:val="20"/>
              </w:rPr>
              <w:t>Erro (%)</w:t>
            </w:r>
          </w:p>
        </w:tc>
      </w:tr>
      <w:tr>
        <w:tc>
          <w:tcPr>
            <w:tcW w:type="dxa" w:w="1568"/>
          </w:tcPr>
          <w:p>
            <w:pPr>
              <w:jc w:val="center"/>
            </w:pPr>
            <w:r>
              <w:rPr>
                <w:rFonts w:ascii="Times New Roman" w:hAnsi="Times New Roman"/>
                <w:b w:val="0"/>
                <w:i w:val="0"/>
                <w:sz w:val="20"/>
              </w:rPr>
              <w:t>28</w:t>
            </w:r>
          </w:p>
        </w:tc>
        <w:tc>
          <w:tcPr>
            <w:tcW w:type="dxa" w:w="1568"/>
          </w:tcPr>
          <w:p>
            <w:pPr>
              <w:jc w:val="center"/>
            </w:pPr>
            <w:r>
              <w:rPr>
                <w:rFonts w:ascii="Times New Roman" w:hAnsi="Times New Roman"/>
                <w:b w:val="0"/>
                <w:i w:val="0"/>
                <w:sz w:val="20"/>
              </w:rPr>
              <w:t>0.8</w:t>
            </w:r>
          </w:p>
        </w:tc>
        <w:tc>
          <w:tcPr>
            <w:tcW w:type="dxa" w:w="1568"/>
          </w:tcPr>
          <w:p>
            <w:pPr>
              <w:jc w:val="center"/>
            </w:pPr>
            <w:r>
              <w:rPr>
                <w:rFonts w:ascii="Times New Roman" w:hAnsi="Times New Roman"/>
                <w:b w:val="0"/>
                <w:i w:val="0"/>
                <w:sz w:val="20"/>
              </w:rPr>
              <w:t>35</w:t>
            </w:r>
          </w:p>
        </w:tc>
        <w:tc>
          <w:tcPr>
            <w:tcW w:type="dxa" w:w="1568"/>
          </w:tcPr>
          <w:p>
            <w:pPr>
              <w:jc w:val="center"/>
            </w:pPr>
            <w:r>
              <w:rPr>
                <w:rFonts w:ascii="Times New Roman" w:hAnsi="Times New Roman"/>
                <w:b w:val="0"/>
                <w:i w:val="0"/>
                <w:sz w:val="20"/>
              </w:rPr>
              <w:t>78.4</w:t>
            </w:r>
          </w:p>
        </w:tc>
        <w:tc>
          <w:tcPr>
            <w:tcW w:type="dxa" w:w="1568"/>
          </w:tcPr>
          <w:p>
            <w:pPr>
              <w:jc w:val="center"/>
            </w:pPr>
            <w:r>
              <w:rPr>
                <w:rFonts w:ascii="Times New Roman" w:hAnsi="Times New Roman"/>
                <w:b w:val="0"/>
                <w:i w:val="0"/>
                <w:sz w:val="20"/>
              </w:rPr>
              <w:t>78.26</w:t>
            </w:r>
          </w:p>
        </w:tc>
        <w:tc>
          <w:tcPr>
            <w:tcW w:type="dxa" w:w="1568"/>
          </w:tcPr>
          <w:p>
            <w:pPr>
              <w:jc w:val="center"/>
            </w:pPr>
            <w:r>
              <w:rPr>
                <w:rFonts w:ascii="Times New Roman" w:hAnsi="Times New Roman"/>
                <w:b w:val="0"/>
                <w:i w:val="0"/>
                <w:sz w:val="20"/>
              </w:rPr>
              <w:t>-0.17</w:t>
            </w:r>
          </w:p>
        </w:tc>
      </w:tr>
      <w:tr>
        <w:tc>
          <w:tcPr>
            <w:tcW w:type="dxa" w:w="1568"/>
          </w:tcPr>
          <w:p>
            <w:pPr>
              <w:jc w:val="center"/>
            </w:pPr>
            <w:r>
              <w:rPr>
                <w:rFonts w:ascii="Times New Roman" w:hAnsi="Times New Roman"/>
                <w:b w:val="0"/>
                <w:i w:val="0"/>
                <w:sz w:val="20"/>
              </w:rPr>
              <w:t>32</w:t>
            </w:r>
          </w:p>
        </w:tc>
        <w:tc>
          <w:tcPr>
            <w:tcW w:type="dxa" w:w="1568"/>
          </w:tcPr>
          <w:p>
            <w:pPr>
              <w:jc w:val="center"/>
            </w:pPr>
            <w:r>
              <w:rPr>
                <w:rFonts w:ascii="Times New Roman" w:hAnsi="Times New Roman"/>
                <w:b w:val="0"/>
                <w:i w:val="0"/>
                <w:sz w:val="20"/>
              </w:rPr>
              <w:t>1.0</w:t>
            </w:r>
          </w:p>
        </w:tc>
        <w:tc>
          <w:tcPr>
            <w:tcW w:type="dxa" w:w="1568"/>
          </w:tcPr>
          <w:p>
            <w:pPr>
              <w:jc w:val="center"/>
            </w:pPr>
            <w:r>
              <w:rPr>
                <w:rFonts w:ascii="Times New Roman" w:hAnsi="Times New Roman"/>
                <w:b w:val="0"/>
                <w:i w:val="0"/>
                <w:sz w:val="20"/>
              </w:rPr>
              <w:t>38</w:t>
            </w:r>
          </w:p>
        </w:tc>
        <w:tc>
          <w:tcPr>
            <w:tcW w:type="dxa" w:w="1568"/>
          </w:tcPr>
          <w:p>
            <w:pPr>
              <w:jc w:val="center"/>
            </w:pPr>
            <w:r>
              <w:rPr>
                <w:rFonts w:ascii="Times New Roman" w:hAnsi="Times New Roman"/>
                <w:b w:val="0"/>
                <w:i w:val="0"/>
                <w:sz w:val="20"/>
              </w:rPr>
              <w:t>91.2</w:t>
            </w:r>
          </w:p>
        </w:tc>
        <w:tc>
          <w:tcPr>
            <w:tcW w:type="dxa" w:w="1568"/>
          </w:tcPr>
          <w:p>
            <w:pPr>
              <w:jc w:val="center"/>
            </w:pPr>
            <w:r>
              <w:rPr>
                <w:rFonts w:ascii="Times New Roman" w:hAnsi="Times New Roman"/>
                <w:b w:val="0"/>
                <w:i w:val="0"/>
                <w:sz w:val="20"/>
              </w:rPr>
              <w:t>90.99</w:t>
            </w:r>
          </w:p>
        </w:tc>
        <w:tc>
          <w:tcPr>
            <w:tcW w:type="dxa" w:w="1568"/>
          </w:tcPr>
          <w:p>
            <w:pPr>
              <w:jc w:val="center"/>
            </w:pPr>
            <w:r>
              <w:rPr>
                <w:rFonts w:ascii="Times New Roman" w:hAnsi="Times New Roman"/>
                <w:b w:val="0"/>
                <w:i w:val="0"/>
                <w:sz w:val="20"/>
              </w:rPr>
              <w:t>-0.23</w:t>
            </w:r>
          </w:p>
        </w:tc>
      </w:tr>
      <w:tr>
        <w:tc>
          <w:tcPr>
            <w:tcW w:type="dxa" w:w="1568"/>
          </w:tcPr>
          <w:p>
            <w:pPr>
              <w:jc w:val="center"/>
            </w:pPr>
            <w:r>
              <w:rPr>
                <w:rFonts w:ascii="Times New Roman" w:hAnsi="Times New Roman"/>
                <w:b w:val="0"/>
                <w:i w:val="0"/>
                <w:sz w:val="20"/>
              </w:rPr>
              <w:t>35</w:t>
            </w:r>
          </w:p>
        </w:tc>
        <w:tc>
          <w:tcPr>
            <w:tcW w:type="dxa" w:w="1568"/>
          </w:tcPr>
          <w:p>
            <w:pPr>
              <w:jc w:val="center"/>
            </w:pPr>
            <w:r>
              <w:rPr>
                <w:rFonts w:ascii="Times New Roman" w:hAnsi="Times New Roman"/>
                <w:b w:val="0"/>
                <w:i w:val="0"/>
                <w:sz w:val="20"/>
              </w:rPr>
              <w:t>1.2</w:t>
            </w:r>
          </w:p>
        </w:tc>
        <w:tc>
          <w:tcPr>
            <w:tcW w:type="dxa" w:w="1568"/>
          </w:tcPr>
          <w:p>
            <w:pPr>
              <w:jc w:val="center"/>
            </w:pPr>
            <w:r>
              <w:rPr>
                <w:rFonts w:ascii="Times New Roman" w:hAnsi="Times New Roman"/>
                <w:b w:val="0"/>
                <w:i w:val="0"/>
                <w:sz w:val="20"/>
              </w:rPr>
              <w:t>42</w:t>
            </w:r>
          </w:p>
        </w:tc>
        <w:tc>
          <w:tcPr>
            <w:tcW w:type="dxa" w:w="1568"/>
          </w:tcPr>
          <w:p>
            <w:pPr>
              <w:jc w:val="center"/>
            </w:pPr>
            <w:r>
              <w:rPr>
                <w:rFonts w:ascii="Times New Roman" w:hAnsi="Times New Roman"/>
                <w:b w:val="0"/>
                <w:i w:val="0"/>
                <w:sz w:val="20"/>
              </w:rPr>
              <w:t>104.5</w:t>
            </w:r>
          </w:p>
        </w:tc>
        <w:tc>
          <w:tcPr>
            <w:tcW w:type="dxa" w:w="1568"/>
          </w:tcPr>
          <w:p>
            <w:pPr>
              <w:jc w:val="center"/>
            </w:pPr>
            <w:r>
              <w:rPr>
                <w:rFonts w:ascii="Times New Roman" w:hAnsi="Times New Roman"/>
                <w:b w:val="0"/>
                <w:i w:val="0"/>
                <w:sz w:val="20"/>
              </w:rPr>
              <w:t>105.04</w:t>
            </w:r>
          </w:p>
        </w:tc>
        <w:tc>
          <w:tcPr>
            <w:tcW w:type="dxa" w:w="1568"/>
          </w:tcPr>
          <w:p>
            <w:pPr>
              <w:jc w:val="center"/>
            </w:pPr>
            <w:r>
              <w:rPr>
                <w:rFonts w:ascii="Times New Roman" w:hAnsi="Times New Roman"/>
                <w:b w:val="0"/>
                <w:i w:val="0"/>
                <w:sz w:val="20"/>
              </w:rPr>
              <w:t>+0.51</w:t>
            </w:r>
          </w:p>
        </w:tc>
      </w:tr>
      <w:tr>
        <w:tc>
          <w:tcPr>
            <w:tcW w:type="dxa" w:w="1568"/>
          </w:tcPr>
          <w:p>
            <w:pPr>
              <w:jc w:val="center"/>
            </w:pPr>
            <w:r>
              <w:rPr>
                <w:rFonts w:ascii="Times New Roman" w:hAnsi="Times New Roman"/>
                <w:b w:val="0"/>
                <w:i w:val="0"/>
                <w:sz w:val="20"/>
              </w:rPr>
              <w:t>38</w:t>
            </w:r>
          </w:p>
        </w:tc>
        <w:tc>
          <w:tcPr>
            <w:tcW w:type="dxa" w:w="1568"/>
          </w:tcPr>
          <w:p>
            <w:pPr>
              <w:jc w:val="center"/>
            </w:pPr>
            <w:r>
              <w:rPr>
                <w:rFonts w:ascii="Times New Roman" w:hAnsi="Times New Roman"/>
                <w:b w:val="0"/>
                <w:i w:val="0"/>
                <w:sz w:val="20"/>
              </w:rPr>
              <w:t>1.5</w:t>
            </w:r>
          </w:p>
        </w:tc>
        <w:tc>
          <w:tcPr>
            <w:tcW w:type="dxa" w:w="1568"/>
          </w:tcPr>
          <w:p>
            <w:pPr>
              <w:jc w:val="center"/>
            </w:pPr>
            <w:r>
              <w:rPr>
                <w:rFonts w:ascii="Times New Roman" w:hAnsi="Times New Roman"/>
                <w:b w:val="0"/>
                <w:i w:val="0"/>
                <w:sz w:val="20"/>
              </w:rPr>
              <w:t>45</w:t>
            </w:r>
          </w:p>
        </w:tc>
        <w:tc>
          <w:tcPr>
            <w:tcW w:type="dxa" w:w="1568"/>
          </w:tcPr>
          <w:p>
            <w:pPr>
              <w:jc w:val="center"/>
            </w:pPr>
            <w:r>
              <w:rPr>
                <w:rFonts w:ascii="Times New Roman" w:hAnsi="Times New Roman"/>
                <w:b w:val="0"/>
                <w:i w:val="0"/>
                <w:sz w:val="20"/>
              </w:rPr>
              <w:t>119.3</w:t>
            </w:r>
          </w:p>
        </w:tc>
        <w:tc>
          <w:tcPr>
            <w:tcW w:type="dxa" w:w="1568"/>
          </w:tcPr>
          <w:p>
            <w:pPr>
              <w:jc w:val="center"/>
            </w:pPr>
            <w:r>
              <w:rPr>
                <w:rFonts w:ascii="Times New Roman" w:hAnsi="Times New Roman"/>
                <w:b w:val="0"/>
                <w:i w:val="0"/>
                <w:sz w:val="20"/>
              </w:rPr>
              <w:t>120.33</w:t>
            </w:r>
          </w:p>
        </w:tc>
        <w:tc>
          <w:tcPr>
            <w:tcW w:type="dxa" w:w="1568"/>
          </w:tcPr>
          <w:p>
            <w:pPr>
              <w:jc w:val="center"/>
            </w:pPr>
            <w:r>
              <w:rPr>
                <w:rFonts w:ascii="Times New Roman" w:hAnsi="Times New Roman"/>
                <w:b w:val="0"/>
                <w:i w:val="0"/>
                <w:sz w:val="20"/>
              </w:rPr>
              <w:t>+0.86</w:t>
            </w:r>
          </w:p>
        </w:tc>
      </w:tr>
      <w:tr>
        <w:tc>
          <w:tcPr>
            <w:tcW w:type="dxa" w:w="1568"/>
          </w:tcPr>
          <w:p>
            <w:pPr>
              <w:jc w:val="center"/>
            </w:pPr>
            <w:r>
              <w:rPr>
                <w:rFonts w:ascii="Times New Roman" w:hAnsi="Times New Roman"/>
                <w:b w:val="0"/>
                <w:i w:val="0"/>
                <w:sz w:val="20"/>
              </w:rPr>
              <w:t>42</w:t>
            </w:r>
          </w:p>
        </w:tc>
        <w:tc>
          <w:tcPr>
            <w:tcW w:type="dxa" w:w="1568"/>
          </w:tcPr>
          <w:p>
            <w:pPr>
              <w:jc w:val="center"/>
            </w:pPr>
            <w:r>
              <w:rPr>
                <w:rFonts w:ascii="Times New Roman" w:hAnsi="Times New Roman"/>
                <w:b w:val="0"/>
                <w:i w:val="0"/>
                <w:sz w:val="20"/>
              </w:rPr>
              <w:t>1.8</w:t>
            </w:r>
          </w:p>
        </w:tc>
        <w:tc>
          <w:tcPr>
            <w:tcW w:type="dxa" w:w="1568"/>
          </w:tcPr>
          <w:p>
            <w:pPr>
              <w:jc w:val="center"/>
            </w:pPr>
            <w:r>
              <w:rPr>
                <w:rFonts w:ascii="Times New Roman" w:hAnsi="Times New Roman"/>
                <w:b w:val="0"/>
                <w:i w:val="0"/>
                <w:sz w:val="20"/>
              </w:rPr>
              <w:t>48</w:t>
            </w:r>
          </w:p>
        </w:tc>
        <w:tc>
          <w:tcPr>
            <w:tcW w:type="dxa" w:w="1568"/>
          </w:tcPr>
          <w:p>
            <w:pPr>
              <w:jc w:val="center"/>
            </w:pPr>
            <w:r>
              <w:rPr>
                <w:rFonts w:ascii="Times New Roman" w:hAnsi="Times New Roman"/>
                <w:b w:val="0"/>
                <w:i w:val="0"/>
                <w:sz w:val="20"/>
              </w:rPr>
              <w:t>138.7</w:t>
            </w:r>
          </w:p>
        </w:tc>
        <w:tc>
          <w:tcPr>
            <w:tcW w:type="dxa" w:w="1568"/>
          </w:tcPr>
          <w:p>
            <w:pPr>
              <w:jc w:val="center"/>
            </w:pPr>
            <w:r>
              <w:rPr>
                <w:rFonts w:ascii="Times New Roman" w:hAnsi="Times New Roman"/>
                <w:b w:val="0"/>
                <w:i w:val="0"/>
                <w:sz w:val="20"/>
              </w:rPr>
              <w:t>138.84</w:t>
            </w:r>
          </w:p>
        </w:tc>
        <w:tc>
          <w:tcPr>
            <w:tcW w:type="dxa" w:w="1568"/>
          </w:tcPr>
          <w:p>
            <w:pPr>
              <w:jc w:val="center"/>
            </w:pPr>
            <w:r>
              <w:rPr>
                <w:rFonts w:ascii="Times New Roman" w:hAnsi="Times New Roman"/>
                <w:b w:val="0"/>
                <w:i w:val="0"/>
                <w:sz w:val="20"/>
              </w:rPr>
              <w:t>+0.10</w:t>
            </w:r>
          </w:p>
        </w:tc>
      </w:tr>
      <w:tr>
        <w:tc>
          <w:tcPr>
            <w:tcW w:type="dxa" w:w="1568"/>
          </w:tcPr>
          <w:p>
            <w:pPr>
              <w:jc w:val="center"/>
            </w:pPr>
            <w:r>
              <w:rPr>
                <w:rFonts w:ascii="Times New Roman" w:hAnsi="Times New Roman"/>
                <w:b w:val="0"/>
                <w:i w:val="0"/>
                <w:sz w:val="20"/>
              </w:rPr>
              <w:t>45</w:t>
            </w:r>
          </w:p>
        </w:tc>
        <w:tc>
          <w:tcPr>
            <w:tcW w:type="dxa" w:w="1568"/>
          </w:tcPr>
          <w:p>
            <w:pPr>
              <w:jc w:val="center"/>
            </w:pPr>
            <w:r>
              <w:rPr>
                <w:rFonts w:ascii="Times New Roman" w:hAnsi="Times New Roman"/>
                <w:b w:val="0"/>
                <w:i w:val="0"/>
                <w:sz w:val="20"/>
              </w:rPr>
              <w:t>2.0</w:t>
            </w:r>
          </w:p>
        </w:tc>
        <w:tc>
          <w:tcPr>
            <w:tcW w:type="dxa" w:w="1568"/>
          </w:tcPr>
          <w:p>
            <w:pPr>
              <w:jc w:val="center"/>
            </w:pPr>
            <w:r>
              <w:rPr>
                <w:rFonts w:ascii="Times New Roman" w:hAnsi="Times New Roman"/>
                <w:b w:val="0"/>
                <w:i w:val="0"/>
                <w:sz w:val="20"/>
              </w:rPr>
              <w:t>52</w:t>
            </w:r>
          </w:p>
        </w:tc>
        <w:tc>
          <w:tcPr>
            <w:tcW w:type="dxa" w:w="1568"/>
          </w:tcPr>
          <w:p>
            <w:pPr>
              <w:jc w:val="center"/>
            </w:pPr>
            <w:r>
              <w:rPr>
                <w:rFonts w:ascii="Times New Roman" w:hAnsi="Times New Roman"/>
                <w:b w:val="0"/>
                <w:i w:val="0"/>
                <w:sz w:val="20"/>
              </w:rPr>
              <w:t>156.1</w:t>
            </w:r>
          </w:p>
        </w:tc>
        <w:tc>
          <w:tcPr>
            <w:tcW w:type="dxa" w:w="1568"/>
          </w:tcPr>
          <w:p>
            <w:pPr>
              <w:jc w:val="center"/>
            </w:pPr>
            <w:r>
              <w:rPr>
                <w:rFonts w:ascii="Times New Roman" w:hAnsi="Times New Roman"/>
                <w:b w:val="0"/>
                <w:i w:val="0"/>
                <w:sz w:val="20"/>
              </w:rPr>
              <w:t>156.15</w:t>
            </w:r>
          </w:p>
        </w:tc>
        <w:tc>
          <w:tcPr>
            <w:tcW w:type="dxa" w:w="1568"/>
          </w:tcPr>
          <w:p>
            <w:pPr>
              <w:jc w:val="center"/>
            </w:pPr>
            <w:r>
              <w:rPr>
                <w:rFonts w:ascii="Times New Roman" w:hAnsi="Times New Roman"/>
                <w:b w:val="0"/>
                <w:i w:val="0"/>
                <w:sz w:val="20"/>
              </w:rPr>
              <w:t>+0.03</w:t>
            </w:r>
          </w:p>
        </w:tc>
      </w:tr>
      <w:tr>
        <w:tc>
          <w:tcPr>
            <w:tcW w:type="dxa" w:w="1568"/>
          </w:tcPr>
          <w:p>
            <w:pPr>
              <w:jc w:val="center"/>
            </w:pPr>
            <w:r>
              <w:rPr>
                <w:rFonts w:ascii="Times New Roman" w:hAnsi="Times New Roman"/>
                <w:b w:val="0"/>
                <w:i w:val="0"/>
                <w:sz w:val="20"/>
              </w:rPr>
              <w:t>48</w:t>
            </w:r>
          </w:p>
        </w:tc>
        <w:tc>
          <w:tcPr>
            <w:tcW w:type="dxa" w:w="1568"/>
          </w:tcPr>
          <w:p>
            <w:pPr>
              <w:jc w:val="center"/>
            </w:pPr>
            <w:r>
              <w:rPr>
                <w:rFonts w:ascii="Times New Roman" w:hAnsi="Times New Roman"/>
                <w:b w:val="0"/>
                <w:i w:val="0"/>
                <w:sz w:val="20"/>
              </w:rPr>
              <w:t>2.2</w:t>
            </w:r>
          </w:p>
        </w:tc>
        <w:tc>
          <w:tcPr>
            <w:tcW w:type="dxa" w:w="1568"/>
          </w:tcPr>
          <w:p>
            <w:pPr>
              <w:jc w:val="center"/>
            </w:pPr>
            <w:r>
              <w:rPr>
                <w:rFonts w:ascii="Times New Roman" w:hAnsi="Times New Roman"/>
                <w:b w:val="0"/>
                <w:i w:val="0"/>
                <w:sz w:val="20"/>
              </w:rPr>
              <w:t>55</w:t>
            </w:r>
          </w:p>
        </w:tc>
        <w:tc>
          <w:tcPr>
            <w:tcW w:type="dxa" w:w="1568"/>
          </w:tcPr>
          <w:p>
            <w:pPr>
              <w:jc w:val="center"/>
            </w:pPr>
            <w:r>
              <w:rPr>
                <w:rFonts w:ascii="Times New Roman" w:hAnsi="Times New Roman"/>
                <w:b w:val="0"/>
                <w:i w:val="0"/>
                <w:sz w:val="20"/>
              </w:rPr>
              <w:t>172.9</w:t>
            </w:r>
          </w:p>
        </w:tc>
        <w:tc>
          <w:tcPr>
            <w:tcW w:type="dxa" w:w="1568"/>
          </w:tcPr>
          <w:p>
            <w:pPr>
              <w:jc w:val="center"/>
            </w:pPr>
            <w:r>
              <w:rPr>
                <w:rFonts w:ascii="Times New Roman" w:hAnsi="Times New Roman"/>
                <w:b w:val="0"/>
                <w:i w:val="0"/>
                <w:sz w:val="20"/>
              </w:rPr>
              <w:t>172.14</w:t>
            </w:r>
          </w:p>
        </w:tc>
        <w:tc>
          <w:tcPr>
            <w:tcW w:type="dxa" w:w="1568"/>
          </w:tcPr>
          <w:p>
            <w:pPr>
              <w:jc w:val="center"/>
            </w:pPr>
            <w:r>
              <w:rPr>
                <w:rFonts w:ascii="Times New Roman" w:hAnsi="Times New Roman"/>
                <w:b w:val="0"/>
                <w:i w:val="0"/>
                <w:sz w:val="20"/>
              </w:rPr>
              <w:t>-0.44</w:t>
            </w:r>
          </w:p>
        </w:tc>
      </w:tr>
      <w:tr>
        <w:tc>
          <w:tcPr>
            <w:tcW w:type="dxa" w:w="1568"/>
          </w:tcPr>
          <w:p>
            <w:pPr>
              <w:jc w:val="center"/>
            </w:pPr>
            <w:r>
              <w:rPr>
                <w:rFonts w:ascii="Times New Roman" w:hAnsi="Times New Roman"/>
                <w:b w:val="0"/>
                <w:i w:val="0"/>
                <w:sz w:val="20"/>
              </w:rPr>
              <w:t>50</w:t>
            </w:r>
          </w:p>
        </w:tc>
        <w:tc>
          <w:tcPr>
            <w:tcW w:type="dxa" w:w="1568"/>
          </w:tcPr>
          <w:p>
            <w:pPr>
              <w:jc w:val="center"/>
            </w:pPr>
            <w:r>
              <w:rPr>
                <w:rFonts w:ascii="Times New Roman" w:hAnsi="Times New Roman"/>
                <w:b w:val="0"/>
                <w:i w:val="0"/>
                <w:sz w:val="20"/>
              </w:rPr>
              <w:t>2.5</w:t>
            </w:r>
          </w:p>
        </w:tc>
        <w:tc>
          <w:tcPr>
            <w:tcW w:type="dxa" w:w="1568"/>
          </w:tcPr>
          <w:p>
            <w:pPr>
              <w:jc w:val="center"/>
            </w:pPr>
            <w:r>
              <w:rPr>
                <w:rFonts w:ascii="Times New Roman" w:hAnsi="Times New Roman"/>
                <w:b w:val="0"/>
                <w:i w:val="0"/>
                <w:sz w:val="20"/>
              </w:rPr>
              <w:t>60</w:t>
            </w:r>
          </w:p>
        </w:tc>
        <w:tc>
          <w:tcPr>
            <w:tcW w:type="dxa" w:w="1568"/>
          </w:tcPr>
          <w:p>
            <w:pPr>
              <w:jc w:val="center"/>
            </w:pPr>
            <w:r>
              <w:rPr>
                <w:rFonts w:ascii="Times New Roman" w:hAnsi="Times New Roman"/>
                <w:b w:val="0"/>
                <w:i w:val="0"/>
                <w:sz w:val="20"/>
              </w:rPr>
              <w:t>191.4</w:t>
            </w:r>
          </w:p>
        </w:tc>
        <w:tc>
          <w:tcPr>
            <w:tcW w:type="dxa" w:w="1568"/>
          </w:tcPr>
          <w:p>
            <w:pPr>
              <w:jc w:val="center"/>
            </w:pPr>
            <w:r>
              <w:rPr>
                <w:rFonts w:ascii="Times New Roman" w:hAnsi="Times New Roman"/>
                <w:b w:val="0"/>
                <w:i w:val="0"/>
                <w:sz w:val="20"/>
              </w:rPr>
              <w:t>191.81</w:t>
            </w:r>
          </w:p>
        </w:tc>
        <w:tc>
          <w:tcPr>
            <w:tcW w:type="dxa" w:w="1568"/>
          </w:tcPr>
          <w:p>
            <w:pPr>
              <w:jc w:val="center"/>
            </w:pPr>
            <w:r>
              <w:rPr>
                <w:rFonts w:ascii="Times New Roman" w:hAnsi="Times New Roman"/>
                <w:b w:val="0"/>
                <w:i w:val="0"/>
                <w:sz w:val="20"/>
              </w:rPr>
              <w:t>+0.22</w:t>
            </w:r>
          </w:p>
        </w:tc>
      </w:tr>
      <w:tr>
        <w:tc>
          <w:tcPr>
            <w:tcW w:type="dxa" w:w="1568"/>
          </w:tcPr>
          <w:p>
            <w:pPr>
              <w:jc w:val="center"/>
            </w:pPr>
            <w:r>
              <w:rPr>
                <w:rFonts w:ascii="Times New Roman" w:hAnsi="Times New Roman"/>
                <w:b w:val="0"/>
                <w:i w:val="0"/>
                <w:sz w:val="20"/>
              </w:rPr>
              <w:t>30</w:t>
            </w:r>
          </w:p>
        </w:tc>
        <w:tc>
          <w:tcPr>
            <w:tcW w:type="dxa" w:w="1568"/>
          </w:tcPr>
          <w:p>
            <w:pPr>
              <w:jc w:val="center"/>
            </w:pPr>
            <w:r>
              <w:rPr>
                <w:rFonts w:ascii="Times New Roman" w:hAnsi="Times New Roman"/>
                <w:b w:val="0"/>
                <w:i w:val="0"/>
                <w:sz w:val="20"/>
              </w:rPr>
              <w:t>2.0</w:t>
            </w:r>
          </w:p>
        </w:tc>
        <w:tc>
          <w:tcPr>
            <w:tcW w:type="dxa" w:w="1568"/>
          </w:tcPr>
          <w:p>
            <w:pPr>
              <w:jc w:val="center"/>
            </w:pPr>
            <w:r>
              <w:rPr>
                <w:rFonts w:ascii="Times New Roman" w:hAnsi="Times New Roman"/>
                <w:b w:val="0"/>
                <w:i w:val="0"/>
                <w:sz w:val="20"/>
              </w:rPr>
              <w:t>32</w:t>
            </w:r>
          </w:p>
        </w:tc>
        <w:tc>
          <w:tcPr>
            <w:tcW w:type="dxa" w:w="1568"/>
          </w:tcPr>
          <w:p>
            <w:pPr>
              <w:jc w:val="center"/>
            </w:pPr>
            <w:r>
              <w:rPr>
                <w:rFonts w:ascii="Times New Roman" w:hAnsi="Times New Roman"/>
                <w:b w:val="0"/>
                <w:i w:val="0"/>
                <w:sz w:val="20"/>
              </w:rPr>
              <w:t>93.8</w:t>
            </w:r>
          </w:p>
        </w:tc>
        <w:tc>
          <w:tcPr>
            <w:tcW w:type="dxa" w:w="1568"/>
          </w:tcPr>
          <w:p>
            <w:pPr>
              <w:jc w:val="center"/>
            </w:pPr>
            <w:r>
              <w:rPr>
                <w:rFonts w:ascii="Times New Roman" w:hAnsi="Times New Roman"/>
                <w:b w:val="0"/>
                <w:i w:val="0"/>
                <w:sz w:val="20"/>
              </w:rPr>
              <w:t>93.52</w:t>
            </w:r>
          </w:p>
        </w:tc>
        <w:tc>
          <w:tcPr>
            <w:tcW w:type="dxa" w:w="1568"/>
          </w:tcPr>
          <w:p>
            <w:pPr>
              <w:jc w:val="center"/>
            </w:pPr>
            <w:r>
              <w:rPr>
                <w:rFonts w:ascii="Times New Roman" w:hAnsi="Times New Roman"/>
                <w:b w:val="0"/>
                <w:i w:val="0"/>
                <w:sz w:val="20"/>
              </w:rPr>
              <w:t>-0.30</w:t>
            </w:r>
          </w:p>
        </w:tc>
      </w:tr>
      <w:tr>
        <w:tc>
          <w:tcPr>
            <w:tcW w:type="dxa" w:w="1568"/>
          </w:tcPr>
          <w:p>
            <w:pPr>
              <w:jc w:val="center"/>
            </w:pPr>
            <w:r>
              <w:rPr>
                <w:rFonts w:ascii="Times New Roman" w:hAnsi="Times New Roman"/>
                <w:b w:val="0"/>
                <w:i w:val="0"/>
                <w:sz w:val="20"/>
              </w:rPr>
              <w:t>40</w:t>
            </w:r>
          </w:p>
        </w:tc>
        <w:tc>
          <w:tcPr>
            <w:tcW w:type="dxa" w:w="1568"/>
          </w:tcPr>
          <w:p>
            <w:pPr>
              <w:jc w:val="center"/>
            </w:pPr>
            <w:r>
              <w:rPr>
                <w:rFonts w:ascii="Times New Roman" w:hAnsi="Times New Roman"/>
                <w:b w:val="0"/>
                <w:i w:val="0"/>
                <w:sz w:val="20"/>
              </w:rPr>
              <w:t>1.3</w:t>
            </w:r>
          </w:p>
        </w:tc>
        <w:tc>
          <w:tcPr>
            <w:tcW w:type="dxa" w:w="1568"/>
          </w:tcPr>
          <w:p>
            <w:pPr>
              <w:jc w:val="center"/>
            </w:pPr>
            <w:r>
              <w:rPr>
                <w:rFonts w:ascii="Times New Roman" w:hAnsi="Times New Roman"/>
                <w:b w:val="0"/>
                <w:i w:val="0"/>
                <w:sz w:val="20"/>
              </w:rPr>
              <w:t>50</w:t>
            </w:r>
          </w:p>
        </w:tc>
        <w:tc>
          <w:tcPr>
            <w:tcW w:type="dxa" w:w="1568"/>
          </w:tcPr>
          <w:p>
            <w:pPr>
              <w:jc w:val="center"/>
            </w:pPr>
            <w:r>
              <w:rPr>
                <w:rFonts w:ascii="Times New Roman" w:hAnsi="Times New Roman"/>
                <w:b w:val="0"/>
                <w:i w:val="0"/>
                <w:sz w:val="20"/>
              </w:rPr>
              <w:t>128.6</w:t>
            </w:r>
          </w:p>
        </w:tc>
        <w:tc>
          <w:tcPr>
            <w:tcW w:type="dxa" w:w="1568"/>
          </w:tcPr>
          <w:p>
            <w:pPr>
              <w:jc w:val="center"/>
            </w:pPr>
            <w:r>
              <w:rPr>
                <w:rFonts w:ascii="Times New Roman" w:hAnsi="Times New Roman"/>
                <w:b w:val="0"/>
                <w:i w:val="0"/>
                <w:sz w:val="20"/>
              </w:rPr>
              <w:t>127.79</w:t>
            </w:r>
          </w:p>
        </w:tc>
        <w:tc>
          <w:tcPr>
            <w:tcW w:type="dxa" w:w="1568"/>
          </w:tcPr>
          <w:p>
            <w:pPr>
              <w:jc w:val="center"/>
            </w:pPr>
            <w:r>
              <w:rPr>
                <w:rFonts w:ascii="Times New Roman" w:hAnsi="Times New Roman"/>
                <w:b w:val="0"/>
                <w:i w:val="0"/>
                <w:sz w:val="20"/>
              </w:rPr>
              <w:t>-0.63</w:t>
            </w:r>
          </w:p>
        </w:tc>
      </w:tr>
    </w:tbl>
    <w:p/>
    <w:p>
      <w:pPr>
        <w:spacing w:before="240" w:after="120"/>
        <w:jc w:val="left"/>
      </w:pPr>
      <w:r>
        <w:rPr>
          <w:rFonts w:ascii="Times New Roman" w:hAnsi="Times New Roman"/>
          <w:b/>
          <w:i w:val="0"/>
          <w:sz w:val="24"/>
        </w:rPr>
        <w:t>3.2  Arquitetura da MLP</w:t>
      </w:r>
    </w:p>
    <w:p>
      <w:pPr>
        <w:spacing w:before="0" w:after="0"/>
        <w:ind w:firstLine="425"/>
        <w:jc w:val="both"/>
      </w:pPr>
      <w:r>
        <w:rPr>
          <w:rFonts w:ascii="Times New Roman" w:hAnsi="Times New Roman"/>
          <w:b w:val="0"/>
          <w:i w:val="0"/>
          <w:sz w:val="24"/>
        </w:rPr>
        <w:t>A rede foi implementada em Python com Keras/TensorFlow. Configuração:</w:t>
      </w:r>
    </w:p>
    <w:p>
      <w:pPr>
        <w:pStyle w:val="ListBullet"/>
        <w:ind w:left="567"/>
      </w:pPr>
      <w:r>
        <w:rPr>
          <w:rFonts w:ascii="Times New Roman" w:hAnsi="Times New Roman"/>
          <w:b w:val="0"/>
          <w:i w:val="0"/>
          <w:sz w:val="24"/>
        </w:rPr>
        <w:t>Entrada: 3 neurônios (fc, ρ, d), com normalização min-max</w:t>
      </w:r>
    </w:p>
    <w:p>
      <w:pPr>
        <w:pStyle w:val="ListBullet"/>
        <w:ind w:left="567"/>
      </w:pPr>
      <w:r>
        <w:rPr>
          <w:rFonts w:ascii="Times New Roman" w:hAnsi="Times New Roman"/>
          <w:b w:val="0"/>
          <w:i w:val="0"/>
          <w:sz w:val="24"/>
        </w:rPr>
        <w:t>Camada oculta 1: 16 neurônios, ativação tanh</w:t>
      </w:r>
    </w:p>
    <w:p>
      <w:pPr>
        <w:pStyle w:val="ListBullet"/>
        <w:ind w:left="567"/>
      </w:pPr>
      <w:r>
        <w:rPr>
          <w:rFonts w:ascii="Times New Roman" w:hAnsi="Times New Roman"/>
          <w:b w:val="0"/>
          <w:i w:val="0"/>
          <w:sz w:val="24"/>
        </w:rPr>
        <w:t>Camada oculta 2: 8 neurônios, ativação tanh</w:t>
      </w:r>
    </w:p>
    <w:p>
      <w:pPr>
        <w:pStyle w:val="ListBullet"/>
        <w:ind w:left="567"/>
      </w:pPr>
      <w:r>
        <w:rPr>
          <w:rFonts w:ascii="Times New Roman" w:hAnsi="Times New Roman"/>
          <w:b w:val="0"/>
          <w:i w:val="0"/>
          <w:sz w:val="24"/>
        </w:rPr>
        <w:t>Saída: 1 neurônio, ativação linear (regressão)</w:t>
      </w:r>
    </w:p>
    <w:p>
      <w:pPr>
        <w:pStyle w:val="ListBullet"/>
        <w:ind w:left="567"/>
      </w:pPr>
      <w:r>
        <w:rPr>
          <w:rFonts w:ascii="Times New Roman" w:hAnsi="Times New Roman"/>
          <w:b w:val="0"/>
          <w:i w:val="0"/>
          <w:sz w:val="24"/>
        </w:rPr>
        <w:t>Otimizador: Adam (η = 0,01); Função de custo: MSE; Épocas: 1.000</w:t>
      </w:r>
    </w:p>
    <w:p>
      <w:pPr>
        <w:spacing w:before="240" w:after="120"/>
        <w:jc w:val="left"/>
      </w:pPr>
      <w:r>
        <w:rPr>
          <w:rFonts w:ascii="Times New Roman" w:hAnsi="Times New Roman"/>
          <w:b/>
          <w:i w:val="0"/>
          <w:sz w:val="24"/>
        </w:rPr>
        <w:t>4.  RESULTADOS E DISCUSSÃO</w:t>
      </w:r>
    </w:p>
    <w:p>
      <w:pPr>
        <w:spacing w:before="0" w:after="0"/>
        <w:ind w:firstLine="425"/>
        <w:jc w:val="both"/>
      </w:pPr>
      <w:r>
        <w:rPr>
          <w:rFonts w:ascii="Times New Roman" w:hAnsi="Times New Roman"/>
          <w:b w:val="0"/>
          <w:i w:val="0"/>
          <w:sz w:val="24"/>
        </w:rPr>
        <w:t>Após 1.000 épocas de treinamento com convergência estável (ver Fig. 1 — curva de perda), as métricas finais sobre o conjunto de treinamento foram:</w:t>
      </w:r>
    </w:p>
    <w:p>
      <w:pPr>
        <w:pStyle w:val="ListBullet"/>
        <w:ind w:left="567"/>
      </w:pPr>
      <w:r>
        <w:rPr>
          <w:rFonts w:ascii="Times New Roman" w:hAnsi="Times New Roman"/>
          <w:b w:val="0"/>
          <w:i w:val="0"/>
          <w:sz w:val="24"/>
        </w:rPr>
        <w:t>MSE = 0,292 kN²</w:t>
      </w:r>
    </w:p>
    <w:p>
      <w:pPr>
        <w:pStyle w:val="ListBullet"/>
        <w:ind w:left="567"/>
      </w:pPr>
      <w:r>
        <w:rPr>
          <w:rFonts w:ascii="Times New Roman" w:hAnsi="Times New Roman"/>
          <w:b w:val="0"/>
          <w:i w:val="0"/>
          <w:sz w:val="24"/>
        </w:rPr>
        <w:t>RMSE = 0,540 kN</w:t>
      </w:r>
    </w:p>
    <w:p>
      <w:pPr>
        <w:pStyle w:val="ListBullet"/>
        <w:ind w:left="567"/>
      </w:pPr>
      <w:r>
        <w:rPr>
          <w:rFonts w:ascii="Times New Roman" w:hAnsi="Times New Roman"/>
          <w:b w:val="0"/>
          <w:i w:val="0"/>
          <w:sz w:val="24"/>
        </w:rPr>
        <w:t>MAE = 0,437 kN</w:t>
      </w:r>
    </w:p>
    <w:p>
      <w:pPr>
        <w:pStyle w:val="ListBullet"/>
        <w:ind w:left="567"/>
      </w:pPr>
      <w:r>
        <w:rPr>
          <w:rFonts w:ascii="Times New Roman" w:hAnsi="Times New Roman"/>
          <w:b/>
          <w:i w:val="0"/>
          <w:sz w:val="24"/>
        </w:rPr>
        <w:t>R² = 0,9998</w:t>
      </w:r>
    </w:p>
    <w:p>
      <w:pPr>
        <w:spacing w:before="0" w:after="0"/>
        <w:ind w:firstLine="425"/>
        <w:jc w:val="both"/>
      </w:pPr>
      <w:r>
        <w:rPr>
          <w:rFonts w:ascii="Times New Roman" w:hAnsi="Times New Roman"/>
          <w:b w:val="0"/>
          <w:i w:val="0"/>
          <w:sz w:val="24"/>
        </w:rPr>
        <w:t>[INSERIR Figura 1 — Curva de treinamento (p4_curva_treinamento.png)]</w:t>
      </w:r>
    </w:p>
    <w:p>
      <w:pPr>
        <w:spacing w:before="0" w:after="0"/>
        <w:ind w:firstLine="425"/>
        <w:jc w:val="both"/>
      </w:pPr>
      <w:r>
        <w:rPr>
          <w:rFonts w:ascii="Times New Roman" w:hAnsi="Times New Roman"/>
          <w:b w:val="0"/>
          <w:i w:val="0"/>
          <w:sz w:val="24"/>
        </w:rPr>
        <w:t>[INSERIR Figura 2 — Real vs. Previsto (p4_real_vs_previsto.png)]</w:t>
      </w:r>
    </w:p>
    <w:p>
      <w:pPr>
        <w:spacing w:before="0" w:after="0"/>
        <w:ind w:firstLine="425"/>
        <w:jc w:val="both"/>
      </w:pPr>
      <w:r>
        <w:rPr>
          <w:rFonts w:ascii="Times New Roman" w:hAnsi="Times New Roman"/>
          <w:b w:val="0"/>
          <w:i w:val="0"/>
          <w:sz w:val="24"/>
        </w:rPr>
        <w:t>[INSERIR Figura 3 — Análise de sensibilidade por variável]</w:t>
      </w:r>
    </w:p>
    <w:p>
      <w:pPr>
        <w:spacing w:before="0" w:after="0"/>
        <w:ind w:firstLine="425"/>
        <w:jc w:val="both"/>
      </w:pPr>
      <w:r>
        <w:rPr>
          <w:rFonts w:ascii="Times New Roman" w:hAnsi="Times New Roman"/>
          <w:b w:val="0"/>
          <w:i w:val="0"/>
          <w:sz w:val="24"/>
        </w:rPr>
        <w:t>[INSERIR Figura 4 — Superfície 3D: P = f(fc, d)]</w:t>
      </w:r>
    </w:p>
    <w:p>
      <w:pPr>
        <w:spacing w:before="0" w:after="0"/>
        <w:ind w:firstLine="425"/>
        <w:jc w:val="both"/>
      </w:pPr>
      <w:r>
        <w:rPr>
          <w:rFonts w:ascii="Times New Roman" w:hAnsi="Times New Roman"/>
          <w:b w:val="0"/>
          <w:i w:val="0"/>
          <w:sz w:val="24"/>
        </w:rPr>
        <w:t>A aderência à linha de identidade na Fig. 2 confirma que a MLP aprendeu a relação analítica do modelo, incluindo o termo de interação fc·d da Eq. (1), responsável pela não linearidade. Os erros percentuais máximos ficaram abaixo de 1% em todas as amostras (Tabela 1).</w:t>
      </w:r>
    </w:p>
    <w:p>
      <w:pPr>
        <w:spacing w:before="0" w:after="0"/>
        <w:ind w:firstLine="425"/>
        <w:jc w:val="both"/>
      </w:pPr>
      <w:r>
        <w:rPr>
          <w:rFonts w:ascii="Times New Roman" w:hAnsi="Times New Roman"/>
          <w:b w:val="0"/>
          <w:i w:val="0"/>
          <w:sz w:val="24"/>
        </w:rPr>
        <w:t>Como observado por Khan et al. (2023), modelos de ML apresentam desempenho superior às equações empíricas: naquele estudo o RMSE dos modelos empíricos atingiu 12–17 kN·m, enquanto o modelo ML reduziu-o a 6–7 kN·m. No presente trabalho o RMSE de 0,54 kN demonstra capacidade de ajuste ainda superior dentro da distribuição sintética. Özyüksel Çiftçioğlu et al. (2025) reportaram R² = 0,982 para o melhor modelo em seu estudo, resultado inferior ao R² = 0,9998 obtido aqui, o que reforça a eficácia da ativação tanh combinada à normalização min-max.</w:t>
      </w:r>
    </w:p>
    <w:p>
      <w:pPr>
        <w:spacing w:before="0" w:after="0"/>
        <w:ind w:firstLine="425"/>
        <w:jc w:val="both"/>
      </w:pPr>
      <w:r>
        <w:rPr>
          <w:rFonts w:ascii="Times New Roman" w:hAnsi="Times New Roman"/>
          <w:b w:val="0"/>
          <w:i w:val="0"/>
          <w:sz w:val="24"/>
        </w:rPr>
        <w:t>É importante ressaltar que a base contém apenas dez amostras — suficiente para demonstrar a capacidade de ajuste ao modelo sintético, mas insuficiente para generalização a dados reais. Yaseen (2023) adverte que o desempenho de modelos de ML é altamente sensível ao tamanho e à qualidade da base de dados, recomendando centenas de amostras experimentais para aplicações práticas.</w:t>
      </w:r>
    </w:p>
    <w:p>
      <w:pPr>
        <w:spacing w:before="240" w:after="120"/>
        <w:jc w:val="left"/>
      </w:pPr>
      <w:r>
        <w:rPr>
          <w:rFonts w:ascii="Times New Roman" w:hAnsi="Times New Roman"/>
          <w:b/>
          <w:i w:val="0"/>
          <w:sz w:val="24"/>
        </w:rPr>
        <w:t>5.  CONCLUSÕES</w:t>
      </w:r>
    </w:p>
    <w:p>
      <w:pPr>
        <w:spacing w:before="0" w:after="0"/>
        <w:ind w:firstLine="425"/>
        <w:jc w:val="both"/>
      </w:pPr>
      <w:r>
        <w:rPr>
          <w:rFonts w:ascii="Times New Roman" w:hAnsi="Times New Roman"/>
          <w:b w:val="0"/>
          <w:i w:val="0"/>
          <w:sz w:val="24"/>
        </w:rPr>
        <w:t>Este trabalho aplicou uma rede MLP com camadas ocultas de 16 e 8 neurônios (ativação tanh) à previsão da carga de ruptura em vigas de concreto armado, obtendo R² = 0,9998 e RMSE = 0,54 kN sobre a base sintética do Problema 4. A rede capturou com precisão o termo de interação fc·d, demonstrando superioridade sobre modelos lineares em problemas estruturais com não linearidade intrínseca. A normalização min-max das entradas e o otimizador Adam mostraram-se essenciais para a convergência eficiente em dados de escalas heterogêneas. Como perspectiva, recomenda-se ampliar a base com dados experimentais reais e avaliar a generalização via validação cruzada, alinhando-se às recomendações de Gamil (2023) e Yaseen (2023).</w:t>
      </w:r>
    </w:p>
    <w:p>
      <w:pPr>
        <w:spacing w:before="240"/>
      </w:pPr>
      <w:r>
        <w:rPr>
          <w:rFonts w:ascii="Times New Roman" w:hAnsi="Times New Roman"/>
          <w:b/>
          <w:i/>
          <w:sz w:val="24"/>
        </w:rPr>
        <w:t xml:space="preserve">Agradecimentos. </w:t>
      </w:r>
      <w:r>
        <w:rPr>
          <w:rFonts w:ascii="Times New Roman" w:hAnsi="Times New Roman"/>
          <w:b w:val="0"/>
          <w:i/>
          <w:sz w:val="24"/>
        </w:rPr>
        <w:t>Os autores agradecem ao professor Marcos e à Unimontes.</w:t>
      </w:r>
    </w:p>
    <w:p>
      <w:pPr>
        <w:spacing w:before="240" w:after="120"/>
        <w:jc w:val="left"/>
      </w:pPr>
      <w:r>
        <w:rPr>
          <w:rFonts w:ascii="Times New Roman" w:hAnsi="Times New Roman"/>
          <w:b/>
          <w:i w:val="0"/>
          <w:sz w:val="24"/>
        </w:rPr>
        <w:t>REFERÊNCIAS</w:t>
      </w:r>
    </w:p>
    <w:p>
      <w:pPr>
        <w:spacing w:after="80"/>
        <w:ind w:firstLine="0" w:left="425"/>
        <w:jc w:val="both"/>
      </w:pPr>
      <w:r>
        <w:rPr>
          <w:rFonts w:ascii="Times New Roman" w:hAnsi="Times New Roman"/>
          <w:b w:val="0"/>
          <w:i w:val="0"/>
          <w:sz w:val="22"/>
        </w:rPr>
        <w:t xml:space="preserve">ASSOCIAÇÃO BRASILEIRA DE NORMAS TÉCNICAS. </w:t>
      </w:r>
      <w:r>
        <w:rPr>
          <w:rFonts w:ascii="Times New Roman" w:hAnsi="Times New Roman"/>
          <w:b/>
          <w:i w:val="0"/>
          <w:sz w:val="22"/>
        </w:rPr>
        <w:t>NBR 6118</w:t>
      </w:r>
      <w:r>
        <w:rPr>
          <w:rFonts w:ascii="Times New Roman" w:hAnsi="Times New Roman"/>
          <w:b w:val="0"/>
          <w:i w:val="0"/>
          <w:sz w:val="22"/>
        </w:rPr>
        <w:t>: Projeto de estruturas de concreto — Procedimento. Rio de Janeiro: ABNT, 2023.</w:t>
      </w:r>
    </w:p>
    <w:p>
      <w:pPr>
        <w:spacing w:after="80"/>
        <w:ind w:firstLine="0" w:left="425"/>
        <w:jc w:val="both"/>
      </w:pPr>
      <w:r>
        <w:rPr>
          <w:rFonts w:ascii="Times New Roman" w:hAnsi="Times New Roman"/>
          <w:b w:val="0"/>
          <w:i w:val="0"/>
          <w:sz w:val="22"/>
        </w:rPr>
        <w:t xml:space="preserve">GAMIL, Y. </w:t>
      </w:r>
      <w:r>
        <w:rPr>
          <w:rFonts w:ascii="Times New Roman" w:hAnsi="Times New Roman"/>
          <w:b/>
          <w:i w:val="0"/>
          <w:sz w:val="22"/>
        </w:rPr>
        <w:t>Machine learning in concrete technology: a review of current researches, trends, and applications.</w:t>
      </w:r>
      <w:r>
        <w:rPr>
          <w:rFonts w:ascii="Times New Roman" w:hAnsi="Times New Roman"/>
          <w:b w:val="0"/>
          <w:i w:val="0"/>
          <w:sz w:val="22"/>
        </w:rPr>
        <w:t xml:space="preserve"> Frontiers in Built Environment, v. 9, art. 1145591, 2023. DOI: 10.3389/fbuil.2023.1145591.</w:t>
      </w:r>
    </w:p>
    <w:p>
      <w:pPr>
        <w:spacing w:after="80"/>
        <w:ind w:firstLine="0" w:left="425"/>
        <w:jc w:val="both"/>
      </w:pPr>
      <w:r>
        <w:rPr>
          <w:rFonts w:ascii="Times New Roman" w:hAnsi="Times New Roman"/>
          <w:b w:val="0"/>
          <w:i w:val="0"/>
          <w:sz w:val="22"/>
        </w:rPr>
        <w:t xml:space="preserve">KHAN, M.; KHAN, A.; KHAN, A. U.; SHAKEEL, M.; KHAN, K.; ALABDULJABBAR, H.; NAJEH, T.; GAMIL, Y. </w:t>
      </w:r>
      <w:r>
        <w:rPr>
          <w:rFonts w:ascii="Times New Roman" w:hAnsi="Times New Roman"/>
          <w:b/>
          <w:i w:val="0"/>
          <w:sz w:val="22"/>
        </w:rPr>
        <w:t>Intelligent prediction modeling for flexural capacity of FRP-strengthened reinforced concrete beams using machine learning algorithms.</w:t>
      </w:r>
      <w:r>
        <w:rPr>
          <w:rFonts w:ascii="Times New Roman" w:hAnsi="Times New Roman"/>
          <w:b w:val="0"/>
          <w:i w:val="0"/>
          <w:sz w:val="22"/>
        </w:rPr>
        <w:t xml:space="preserve"> Heliyon, v. 10, n. 1, e23375, 2023. DOI: 10.1016/j.heliyon.2023.e23375.</w:t>
      </w:r>
    </w:p>
    <w:p>
      <w:pPr>
        <w:spacing w:after="80"/>
        <w:ind w:firstLine="0" w:left="425"/>
        <w:jc w:val="both"/>
      </w:pPr>
      <w:r>
        <w:rPr>
          <w:rFonts w:ascii="Times New Roman" w:hAnsi="Times New Roman"/>
          <w:b w:val="0"/>
          <w:i w:val="0"/>
          <w:sz w:val="22"/>
        </w:rPr>
        <w:t xml:space="preserve">ÖZYÜKSEL ÇIFTÇIOĞLU, A.; DELİKANLI, A.; SHAFIGHFARD, T.; BAGHERZADEH, F. </w:t>
      </w:r>
      <w:r>
        <w:rPr>
          <w:rFonts w:ascii="Times New Roman" w:hAnsi="Times New Roman"/>
          <w:b/>
          <w:i w:val="0"/>
          <w:sz w:val="22"/>
        </w:rPr>
        <w:t>Machine learning based shear strength prediction in reinforced concrete beams using Levy flight enhanced decision trees.</w:t>
      </w:r>
      <w:r>
        <w:rPr>
          <w:rFonts w:ascii="Times New Roman" w:hAnsi="Times New Roman"/>
          <w:b w:val="0"/>
          <w:i w:val="0"/>
          <w:sz w:val="22"/>
        </w:rPr>
        <w:t xml:space="preserve"> Scientific Reports, v. 15, art. 27488, 2025. DOI: 10.1038/s41598-025-12359-y.</w:t>
      </w:r>
    </w:p>
    <w:p>
      <w:pPr>
        <w:spacing w:after="80"/>
        <w:ind w:firstLine="0" w:left="425"/>
        <w:jc w:val="both"/>
      </w:pPr>
      <w:r>
        <w:rPr>
          <w:rFonts w:ascii="Times New Roman" w:hAnsi="Times New Roman"/>
          <w:b w:val="0"/>
          <w:i w:val="0"/>
          <w:sz w:val="22"/>
        </w:rPr>
        <w:t xml:space="preserve">YASEEN, Z. M. </w:t>
      </w:r>
      <w:r>
        <w:rPr>
          <w:rFonts w:ascii="Times New Roman" w:hAnsi="Times New Roman"/>
          <w:b/>
          <w:i w:val="0"/>
          <w:sz w:val="22"/>
        </w:rPr>
        <w:t>Machine learning models development for shear strength prediction of reinforced concrete beam: a comparative study.</w:t>
      </w:r>
      <w:r>
        <w:rPr>
          <w:rFonts w:ascii="Times New Roman" w:hAnsi="Times New Roman"/>
          <w:b w:val="0"/>
          <w:i w:val="0"/>
          <w:sz w:val="22"/>
        </w:rPr>
        <w:t xml:space="preserve"> Scientific Reports, v. 13, n. 1, art. 1723, 2023. DOI: 10.1038/s41598-023-27613-4.</w:t>
      </w:r>
    </w:p>
    <w:p>
      <w:pPr>
        <w:spacing w:before="240" w:after="120"/>
        <w:jc w:val="left"/>
      </w:pPr>
      <w:r>
        <w:rPr>
          <w:rFonts w:ascii="Times New Roman" w:hAnsi="Times New Roman"/>
          <w:b/>
          <w:i w:val="0"/>
          <w:sz w:val="24"/>
        </w:rPr>
        <w:t>DISPONIBILIDADE DO CÓDIGO</w:t>
      </w:r>
    </w:p>
    <w:p>
      <w:pPr>
        <w:ind w:firstLine="425"/>
        <w:jc w:val="both"/>
      </w:pPr>
      <w:r>
        <w:rPr>
          <w:rFonts w:ascii="Times New Roman" w:hAnsi="Times New Roman"/>
          <w:b w:val="0"/>
          <w:i w:val="0"/>
          <w:sz w:val="24"/>
        </w:rPr>
        <w:t xml:space="preserve">Os códigos-fonte completos deste trabalho — treinamento da MLP, geração de visualizações e script de geração deste documento — estão disponíveis publicamente em: </w:t>
      </w:r>
      <w:r>
        <w:rPr>
          <w:rFonts w:ascii="Times New Roman" w:hAnsi="Times New Roman"/>
          <w:b/>
          <w:i w:val="0"/>
          <w:color w:val="0046A0"/>
          <w:sz w:val="24"/>
        </w:rPr>
        <w:t>https://github.com/JGF1987/mlp-viga-concreto-mcsm</w:t>
      </w:r>
      <w:r>
        <w:rPr>
          <w:rFonts w:ascii="Times New Roman" w:hAnsi="Times New Roman"/>
          <w:b w:val="0"/>
          <w:i w:val="0"/>
          <w:sz w:val="24"/>
        </w:rPr>
        <w:t>. O repositório contém os arquivos problema4_mlp.py, visualizacoes_p4.py e gerar_word_artigo.py, as figuras de análise em alta resolução (pasta figuras/) e o arquivo LaTeX do artigo.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