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0976" w:rsidRDefault="007C28C4">
      <w:pPr>
        <w:spacing w:before="240" w:after="240"/>
        <w:jc w:val="center"/>
        <w:rPr>
          <w:b/>
        </w:rPr>
      </w:pPr>
      <w:r>
        <w:rPr>
          <w:b/>
        </w:rPr>
        <w:t>Electrochemical Measurement Project: Rough Proposal</w:t>
      </w:r>
    </w:p>
    <w:p w14:paraId="00000002" w14:textId="77777777" w:rsidR="00560976" w:rsidRDefault="007C28C4">
      <w:pPr>
        <w:spacing w:before="240" w:after="240"/>
        <w:jc w:val="center"/>
        <w:rPr>
          <w:b/>
        </w:rPr>
      </w:pPr>
      <w:r>
        <w:rPr>
          <w:b/>
        </w:rPr>
        <w:t xml:space="preserve">Edward Mu </w:t>
      </w:r>
      <w:r>
        <w:t>and</w:t>
      </w:r>
      <w:r>
        <w:rPr>
          <w:b/>
        </w:rPr>
        <w:t xml:space="preserve"> Gage Wright</w:t>
      </w:r>
    </w:p>
    <w:p w14:paraId="00000003" w14:textId="77777777" w:rsidR="00560976" w:rsidRDefault="007C28C4">
      <w:pPr>
        <w:spacing w:before="240" w:after="240"/>
      </w:pPr>
      <w:r>
        <w:t xml:space="preserve"> </w:t>
      </w:r>
    </w:p>
    <w:p w14:paraId="00000004" w14:textId="77777777" w:rsidR="00560976" w:rsidRDefault="007C28C4">
      <w:pPr>
        <w:spacing w:before="240" w:after="240"/>
        <w:rPr>
          <w:u w:val="single"/>
        </w:rPr>
      </w:pPr>
      <w:r>
        <w:rPr>
          <w:u w:val="single"/>
        </w:rPr>
        <w:t>Goal</w:t>
      </w:r>
    </w:p>
    <w:p w14:paraId="00000005" w14:textId="77777777" w:rsidR="00560976" w:rsidRDefault="007C28C4">
      <w:pPr>
        <w:spacing w:before="240" w:after="240"/>
      </w:pPr>
      <w:r>
        <w:t>Investigate the effect of solvent dielectric on transport and kinetics of reversible redox couples using cyclic voltammetry and electrochemical impedance spectroscopy.</w:t>
      </w:r>
    </w:p>
    <w:p w14:paraId="00000006" w14:textId="77777777" w:rsidR="00560976" w:rsidRDefault="007C28C4">
      <w:pPr>
        <w:spacing w:before="240" w:after="240"/>
        <w:rPr>
          <w:u w:val="single"/>
        </w:rPr>
      </w:pPr>
      <w:r>
        <w:rPr>
          <w:u w:val="single"/>
        </w:rPr>
        <w:t>Approach</w:t>
      </w:r>
    </w:p>
    <w:p w14:paraId="00000007" w14:textId="77777777" w:rsidR="00560976" w:rsidRDefault="007C28C4">
      <w:pPr>
        <w:spacing w:before="240" w:after="240"/>
      </w:pPr>
      <w:r>
        <w:t>For the ferrocene/ferrocenium (Fc/Fc+) redox couple, we plan to determine the s</w:t>
      </w:r>
      <w:r>
        <w:t xml:space="preserve">tandard rate constant </w:t>
      </w:r>
      <w:r>
        <w:rPr>
          <w:i/>
        </w:rPr>
        <w:t>k°</w:t>
      </w:r>
      <w:r>
        <w:t xml:space="preserve">, the half-wave potential </w:t>
      </w:r>
      <w:r>
        <w:rPr>
          <w:i/>
        </w:rPr>
        <w:t>E</w:t>
      </w:r>
      <w:r>
        <w:rPr>
          <w:i/>
          <w:vertAlign w:val="subscript"/>
        </w:rPr>
        <w:t>1/2</w:t>
      </w:r>
      <w:r>
        <w:t xml:space="preserve">, and the activation free energy </w:t>
      </w:r>
      <w:r>
        <w:rPr>
          <w:i/>
        </w:rPr>
        <w:t>ΔG</w:t>
      </w:r>
      <w:proofErr w:type="gramStart"/>
      <w:r>
        <w:rPr>
          <w:i/>
          <w:vertAlign w:val="superscript"/>
        </w:rPr>
        <w:t>‡</w:t>
      </w:r>
      <w:r>
        <w:rPr>
          <w:vertAlign w:val="superscript"/>
        </w:rPr>
        <w:t xml:space="preserve"> </w:t>
      </w:r>
      <w:r>
        <w:t xml:space="preserve"> as</w:t>
      </w:r>
      <w:proofErr w:type="gramEnd"/>
      <w:r>
        <w:t xml:space="preserve"> a function of composition of binary solvent mixtures of acetonitrile/acetone and acetonitrile/dichloromethane. These trends will be correlated to the change in t</w:t>
      </w:r>
      <w:r>
        <w:t>he composite dielectric constant of the mixtures.</w:t>
      </w:r>
    </w:p>
    <w:p w14:paraId="00000008" w14:textId="77777777" w:rsidR="00560976" w:rsidRDefault="007C28C4">
      <w:pPr>
        <w:spacing w:before="240" w:after="240"/>
      </w:pPr>
      <w:r>
        <w:t xml:space="preserve">From a cyclic voltammogram (CV), we will determine the half-wave potential </w:t>
      </w:r>
      <w:r>
        <w:rPr>
          <w:i/>
        </w:rPr>
        <w:t>E</w:t>
      </w:r>
      <w:r>
        <w:rPr>
          <w:i/>
          <w:vertAlign w:val="subscript"/>
        </w:rPr>
        <w:t>1/</w:t>
      </w:r>
      <w:proofErr w:type="gramStart"/>
      <w:r>
        <w:rPr>
          <w:i/>
          <w:vertAlign w:val="subscript"/>
        </w:rPr>
        <w:t xml:space="preserve">2 </w:t>
      </w:r>
      <w:r>
        <w:t xml:space="preserve"> and</w:t>
      </w:r>
      <w:proofErr w:type="gramEnd"/>
      <w:r>
        <w:t xml:space="preserve"> the peak separation </w:t>
      </w:r>
      <w:proofErr w:type="spellStart"/>
      <w:r>
        <w:rPr>
          <w:i/>
        </w:rPr>
        <w:t>ΔE</w:t>
      </w:r>
      <w:r>
        <w:rPr>
          <w:i/>
          <w:vertAlign w:val="subscript"/>
        </w:rPr>
        <w:t>p</w:t>
      </w:r>
      <w:proofErr w:type="spellEnd"/>
      <w:r>
        <w:t xml:space="preserve">. Values of </w:t>
      </w:r>
      <w:r>
        <w:rPr>
          <w:i/>
        </w:rPr>
        <w:t>E</w:t>
      </w:r>
      <w:r>
        <w:rPr>
          <w:i/>
          <w:vertAlign w:val="subscript"/>
        </w:rPr>
        <w:t xml:space="preserve">1/2 </w:t>
      </w:r>
      <w:r>
        <w:t xml:space="preserve">will be compared to literature values of the Fc/Fc+ redox couple. </w:t>
      </w:r>
    </w:p>
    <w:p w14:paraId="00000009" w14:textId="77777777" w:rsidR="00560976" w:rsidRDefault="007C28C4">
      <w:pPr>
        <w:spacing w:before="240" w:after="240"/>
      </w:pPr>
      <w:r>
        <w:t>For each solve</w:t>
      </w:r>
      <w:r>
        <w:t>nt mixture, CVs must be corrected for uncompensated solution resistance (R</w:t>
      </w:r>
      <w:r>
        <w:rPr>
          <w:vertAlign w:val="subscript"/>
        </w:rPr>
        <w:t>u</w:t>
      </w:r>
      <w:r>
        <w:t xml:space="preserve">), which will be measured prior to conducting the CV as the </w:t>
      </w:r>
      <w:proofErr w:type="spellStart"/>
      <w:r>
        <w:rPr>
          <w:i/>
        </w:rPr>
        <w:t>Z</w:t>
      </w:r>
      <w:r>
        <w:rPr>
          <w:i/>
          <w:vertAlign w:val="subscript"/>
        </w:rPr>
        <w:t>Re</w:t>
      </w:r>
      <w:proofErr w:type="spellEnd"/>
      <w:r>
        <w:t xml:space="preserve">-intercept of an EIS spectrum. CVs will then be used to determine the standard exchange rate constants </w:t>
      </w:r>
      <w:r>
        <w:rPr>
          <w:i/>
        </w:rPr>
        <w:t>k°</w:t>
      </w:r>
      <w:r>
        <w:t xml:space="preserve"> using Nichol</w:t>
      </w:r>
      <w:r>
        <w:t xml:space="preserve">son’s method from Ref. 2. </w:t>
      </w:r>
      <w:r>
        <w:rPr>
          <w:i/>
        </w:rPr>
        <w:t>ΔG</w:t>
      </w:r>
      <w:r>
        <w:rPr>
          <w:i/>
          <w:vertAlign w:val="superscript"/>
        </w:rPr>
        <w:t>‡</w:t>
      </w:r>
      <w:r>
        <w:rPr>
          <w:vertAlign w:val="superscript"/>
        </w:rPr>
        <w:t xml:space="preserve">  </w:t>
      </w:r>
      <w:r>
        <w:t xml:space="preserve">can be computed from </w:t>
      </w:r>
      <w:r>
        <w:rPr>
          <w:i/>
        </w:rPr>
        <w:t>k°</w:t>
      </w:r>
      <w:r>
        <w:t xml:space="preserve"> using Eqn. 5 in Ref. 1, and the values obtained will be compared to those reported in Ref. 1.</w:t>
      </w:r>
    </w:p>
    <w:p w14:paraId="0000000A" w14:textId="1DAC55D4" w:rsidR="00560976" w:rsidRDefault="007C28C4">
      <w:pPr>
        <w:spacing w:before="240" w:after="240"/>
      </w:pPr>
      <w:r>
        <w:t>EIS spectra will be further analyzed</w:t>
      </w:r>
      <w:r>
        <w:t xml:space="preserve"> using the Randles equivalent circuit and the equivalent circuit model </w:t>
      </w:r>
      <w:r>
        <w:t xml:space="preserve">described in Fig. 7 of Ref. 1. The relative fits to the EIS spectra and physical meaning of these circuits will be assessed to the extent possible, given the speed of Fc/Fc+ charge transfer. </w:t>
      </w:r>
    </w:p>
    <w:p w14:paraId="0000000B" w14:textId="77777777" w:rsidR="00560976" w:rsidRDefault="007C28C4">
      <w:pPr>
        <w:spacing w:before="200" w:after="200" w:line="240" w:lineRule="auto"/>
        <w:rPr>
          <w:u w:val="single"/>
        </w:rPr>
      </w:pPr>
      <w:r>
        <w:rPr>
          <w:u w:val="single"/>
        </w:rPr>
        <w:t xml:space="preserve">Required Materials </w:t>
      </w:r>
    </w:p>
    <w:p w14:paraId="0000000C" w14:textId="77777777" w:rsidR="00560976" w:rsidRDefault="007C28C4">
      <w:pPr>
        <w:numPr>
          <w:ilvl w:val="0"/>
          <w:numId w:val="3"/>
        </w:numPr>
        <w:spacing w:before="20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Pure, dry solvents: Acetonitrile, Acetone, </w:t>
      </w:r>
      <w:r>
        <w:t>and Dichloromethane (DCM).</w:t>
      </w:r>
    </w:p>
    <w:p w14:paraId="0000000D" w14:textId="77777777" w:rsidR="00560976" w:rsidRDefault="007C28C4">
      <w:pPr>
        <w:numPr>
          <w:ilvl w:val="0"/>
          <w:numId w:val="3"/>
        </w:numPr>
        <w:spacing w:line="240" w:lineRule="auto"/>
      </w:pPr>
      <w:r>
        <w:t xml:space="preserve">Analyte and supporting electrolyte: </w:t>
      </w:r>
      <w:proofErr w:type="gramStart"/>
      <w:r>
        <w:t xml:space="preserve">ferrocene, </w:t>
      </w:r>
      <w:r>
        <w:rPr>
          <w:vertAlign w:val="subscript"/>
        </w:rPr>
        <w:t xml:space="preserve"> </w:t>
      </w:r>
      <w:r>
        <w:t>Bu</w:t>
      </w:r>
      <w:proofErr w:type="gramEnd"/>
      <w:r>
        <w:rPr>
          <w:vertAlign w:val="subscript"/>
        </w:rPr>
        <w:t>4</w:t>
      </w:r>
      <w:r>
        <w:t>NPF</w:t>
      </w:r>
      <w:r>
        <w:rPr>
          <w:vertAlign w:val="subscript"/>
        </w:rPr>
        <w:t xml:space="preserve">6 </w:t>
      </w:r>
      <w:r>
        <w:t>(TBAF)</w:t>
      </w:r>
    </w:p>
    <w:p w14:paraId="0000000E" w14:textId="77777777" w:rsidR="00560976" w:rsidRDefault="007C28C4">
      <w:pPr>
        <w:numPr>
          <w:ilvl w:val="0"/>
          <w:numId w:val="3"/>
        </w:numPr>
        <w:spacing w:line="240" w:lineRule="auto"/>
      </w:pPr>
      <w:r>
        <w:t>4Å Molecular sieves (activated), to dry solvents</w:t>
      </w:r>
    </w:p>
    <w:p w14:paraId="0000000F" w14:textId="77777777" w:rsidR="00560976" w:rsidRDefault="007C28C4">
      <w:pPr>
        <w:numPr>
          <w:ilvl w:val="0"/>
          <w:numId w:val="3"/>
        </w:numPr>
        <w:spacing w:line="240" w:lineRule="auto"/>
      </w:pPr>
      <w:r>
        <w:t>~1mm diameter Glassy Carbon (GC) disk electrode</w:t>
      </w:r>
    </w:p>
    <w:p w14:paraId="00000010" w14:textId="77777777" w:rsidR="00560976" w:rsidRDefault="007C28C4">
      <w:pPr>
        <w:numPr>
          <w:ilvl w:val="0"/>
          <w:numId w:val="3"/>
        </w:numPr>
        <w:spacing w:line="240" w:lineRule="auto"/>
      </w:pPr>
      <w:hyperlink r:id="rId5">
        <w:r>
          <w:rPr>
            <w:color w:val="1155CC"/>
            <w:u w:val="single"/>
          </w:rPr>
          <w:t>Electrode polishing kit</w:t>
        </w:r>
      </w:hyperlink>
      <w:r>
        <w:t xml:space="preserve"> (including polishing pad and alumina slurry, or other polishing powder of </w:t>
      </w:r>
      <w:proofErr w:type="gramStart"/>
      <w:r>
        <w:t>0.3 and 0.5 micron</w:t>
      </w:r>
      <w:proofErr w:type="gramEnd"/>
      <w:r>
        <w:t xml:space="preserve"> grit)</w:t>
      </w:r>
    </w:p>
    <w:p w14:paraId="00000011" w14:textId="77777777" w:rsidR="00560976" w:rsidRDefault="007C28C4">
      <w:pPr>
        <w:numPr>
          <w:ilvl w:val="0"/>
          <w:numId w:val="3"/>
        </w:numPr>
        <w:spacing w:line="240" w:lineRule="auto"/>
      </w:pPr>
      <w:r>
        <w:t>Double junction Ag/AgCl/sat. KCl reference electrode</w:t>
      </w:r>
    </w:p>
    <w:p w14:paraId="00000012" w14:textId="77777777" w:rsidR="00560976" w:rsidRDefault="007C28C4">
      <w:pPr>
        <w:numPr>
          <w:ilvl w:val="0"/>
          <w:numId w:val="3"/>
        </w:numPr>
        <w:spacing w:line="240" w:lineRule="auto"/>
      </w:pPr>
      <w:r>
        <w:t>Pt wire counter electrode</w:t>
      </w:r>
    </w:p>
    <w:p w14:paraId="00000013" w14:textId="77777777" w:rsidR="00560976" w:rsidRDefault="007C28C4">
      <w:pPr>
        <w:numPr>
          <w:ilvl w:val="0"/>
          <w:numId w:val="3"/>
        </w:numPr>
        <w:spacing w:line="240" w:lineRule="auto"/>
      </w:pPr>
      <w:r>
        <w:t>Balance with sensitivity to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±</w:t>
      </w:r>
      <w:r>
        <w:rPr>
          <w:rFonts w:ascii="Roboto" w:eastAsia="Roboto" w:hAnsi="Roboto" w:cs="Roboto"/>
          <w:color w:val="BDC1C6"/>
          <w:sz w:val="21"/>
          <w:szCs w:val="21"/>
          <w:highlight w:val="white"/>
        </w:rPr>
        <w:t xml:space="preserve"> </w:t>
      </w:r>
      <w:r>
        <w:rPr>
          <w:highlight w:val="white"/>
        </w:rPr>
        <w:t>0.1 m</w:t>
      </w:r>
      <w:r>
        <w:t>g, or best offer.</w:t>
      </w:r>
    </w:p>
    <w:p w14:paraId="00000014" w14:textId="77777777" w:rsidR="00560976" w:rsidRDefault="007C28C4">
      <w:pPr>
        <w:numPr>
          <w:ilvl w:val="0"/>
          <w:numId w:val="3"/>
        </w:numPr>
        <w:spacing w:line="240" w:lineRule="auto"/>
      </w:pPr>
      <w:proofErr w:type="spellStart"/>
      <w:r>
        <w:t>MyDAQ</w:t>
      </w:r>
      <w:proofErr w:type="spellEnd"/>
      <w:r>
        <w:t xml:space="preserve"> potentiostat/galvanostat</w:t>
      </w:r>
    </w:p>
    <w:p w14:paraId="00000015" w14:textId="77777777" w:rsidR="00560976" w:rsidRDefault="00560976">
      <w:pPr>
        <w:spacing w:before="240" w:after="240"/>
        <w:rPr>
          <w:u w:val="single"/>
        </w:rPr>
      </w:pPr>
    </w:p>
    <w:p w14:paraId="00000016" w14:textId="77777777" w:rsidR="00560976" w:rsidRDefault="007C28C4">
      <w:pPr>
        <w:spacing w:before="240" w:after="240"/>
        <w:rPr>
          <w:u w:val="single"/>
        </w:rPr>
      </w:pPr>
      <w:r>
        <w:rPr>
          <w:u w:val="single"/>
        </w:rPr>
        <w:lastRenderedPageBreak/>
        <w:t>Week 1 Experiments</w:t>
      </w:r>
    </w:p>
    <w:p w14:paraId="00000017" w14:textId="77777777" w:rsidR="00560976" w:rsidRDefault="007C28C4">
      <w:pPr>
        <w:numPr>
          <w:ilvl w:val="0"/>
          <w:numId w:val="1"/>
        </w:numPr>
      </w:pPr>
      <w:r>
        <w:t xml:space="preserve">Verify solubility of TBAF, Fc in each of the pure solvents. According to </w:t>
      </w:r>
      <w:r>
        <w:t xml:space="preserve">Ref. 1, TBAF and Fc should be soluble in </w:t>
      </w:r>
      <w:proofErr w:type="spellStart"/>
      <w:r>
        <w:t>MeCN</w:t>
      </w:r>
      <w:proofErr w:type="spellEnd"/>
      <w:r>
        <w:t xml:space="preserve"> and </w:t>
      </w:r>
      <w:proofErr w:type="spellStart"/>
      <w:r>
        <w:t>MeAc</w:t>
      </w:r>
      <w:proofErr w:type="spellEnd"/>
      <w:r>
        <w:t xml:space="preserve">, but we are unsure about solubility in DCM. </w:t>
      </w:r>
    </w:p>
    <w:p w14:paraId="00000018" w14:textId="77777777" w:rsidR="00560976" w:rsidRDefault="007C28C4">
      <w:pPr>
        <w:numPr>
          <w:ilvl w:val="0"/>
          <w:numId w:val="1"/>
        </w:numPr>
      </w:pPr>
      <w:r>
        <w:t>Make solutions of 0.4 mM Fc with 100 mM TBAF in pure solvents and mixtures of solvents.</w:t>
      </w:r>
    </w:p>
    <w:p w14:paraId="00000019" w14:textId="77777777" w:rsidR="00560976" w:rsidRDefault="007C28C4">
      <w:pPr>
        <w:numPr>
          <w:ilvl w:val="0"/>
          <w:numId w:val="1"/>
        </w:numPr>
      </w:pPr>
      <w:r>
        <w:t xml:space="preserve">Use cyclic voltammetry, measure peak current </w:t>
      </w:r>
      <w:proofErr w:type="spellStart"/>
      <w:r>
        <w:rPr>
          <w:i/>
        </w:rPr>
        <w:t>i</w:t>
      </w:r>
      <w:r>
        <w:rPr>
          <w:i/>
          <w:vertAlign w:val="subscript"/>
        </w:rPr>
        <w:t>p</w:t>
      </w:r>
      <w:proofErr w:type="spellEnd"/>
      <w:r>
        <w:t xml:space="preserve">, and use them to determine diffusion constants </w:t>
      </w:r>
      <w:r>
        <w:rPr>
          <w:i/>
        </w:rPr>
        <w:t xml:space="preserve">D </w:t>
      </w:r>
      <w:r>
        <w:t>via the Randles-Sevcik equation. Sweep from 0 to +1.0 V versus Ag/</w:t>
      </w:r>
      <w:proofErr w:type="gramStart"/>
      <w:r>
        <w:t>AgCl(</w:t>
      </w:r>
      <w:proofErr w:type="gramEnd"/>
      <w:r>
        <w:t>sat. KCl) by applying scan rates (</w:t>
      </w:r>
      <w:r>
        <w:rPr>
          <w:i/>
        </w:rPr>
        <w:t>v</w:t>
      </w:r>
      <w:r>
        <w:t>) ranging from 0.02 to 0.12 V s</w:t>
      </w:r>
      <w:r>
        <w:rPr>
          <w:vertAlign w:val="superscript"/>
        </w:rPr>
        <w:t>-1</w:t>
      </w:r>
      <w:r>
        <w:t xml:space="preserve"> and applying a leas</w:t>
      </w:r>
      <w:r>
        <w:t>t-squares linear regression.</w:t>
      </w:r>
    </w:p>
    <w:p w14:paraId="0000001A" w14:textId="0D6B3867" w:rsidR="00560976" w:rsidRDefault="007C28C4">
      <w:pPr>
        <w:numPr>
          <w:ilvl w:val="0"/>
          <w:numId w:val="1"/>
        </w:numPr>
      </w:pPr>
      <w:r>
        <w:t>Verify reproducibility of the electrochemical surface area (</w:t>
      </w:r>
      <w:r>
        <w:t>ECSA)</w:t>
      </w:r>
      <w:r>
        <w:t xml:space="preserve"> upon electrode polishing by measuring double layer capacitance </w:t>
      </w:r>
      <w:r>
        <w:rPr>
          <w:i/>
        </w:rPr>
        <w:t>C</w:t>
      </w:r>
      <w:r>
        <w:rPr>
          <w:i/>
          <w:vertAlign w:val="subscript"/>
        </w:rPr>
        <w:t>DL</w:t>
      </w:r>
      <w:r>
        <w:t xml:space="preserve"> in solutions of 100 mM TBAF in </w:t>
      </w:r>
      <w:proofErr w:type="spellStart"/>
      <w:r>
        <w:t>MeCN</w:t>
      </w:r>
      <w:proofErr w:type="spellEnd"/>
      <w:r>
        <w:t xml:space="preserve">. We expect the solution to behave as a series RC circuit. </w:t>
      </w:r>
      <w:r>
        <w:rPr>
          <w:i/>
        </w:rPr>
        <w:t>C</w:t>
      </w:r>
      <w:r>
        <w:rPr>
          <w:i/>
          <w:vertAlign w:val="subscript"/>
        </w:rPr>
        <w:t>DL</w:t>
      </w:r>
      <w:r>
        <w:t xml:space="preserve"> can be determined using EIS by </w:t>
      </w:r>
      <w:r>
        <w:t>fitting -</w:t>
      </w:r>
      <w:proofErr w:type="spellStart"/>
      <w:r>
        <w:rPr>
          <w:i/>
        </w:rPr>
        <w:t>Z</w:t>
      </w:r>
      <w:r>
        <w:rPr>
          <w:i/>
          <w:vertAlign w:val="subscript"/>
        </w:rPr>
        <w:t>im</w:t>
      </w:r>
      <w:proofErr w:type="spellEnd"/>
      <w:r>
        <w:t xml:space="preserve"> vs frequency ω, using the equation -</w:t>
      </w:r>
      <w:proofErr w:type="spellStart"/>
      <w:r>
        <w:rPr>
          <w:i/>
        </w:rPr>
        <w:t>Z</w:t>
      </w:r>
      <w:r>
        <w:rPr>
          <w:i/>
          <w:vertAlign w:val="subscript"/>
        </w:rPr>
        <w:t>im</w:t>
      </w:r>
      <w:proofErr w:type="spellEnd"/>
      <w:r>
        <w:t xml:space="preserve"> = (</w:t>
      </w:r>
      <w:proofErr w:type="spellStart"/>
      <w:r>
        <w:t>ω</w:t>
      </w:r>
      <w:r>
        <w:rPr>
          <w:i/>
        </w:rPr>
        <w:t>C</w:t>
      </w:r>
      <w:r>
        <w:rPr>
          <w:i/>
          <w:vertAlign w:val="subscript"/>
        </w:rPr>
        <w:t>DL</w:t>
      </w:r>
      <w:proofErr w:type="spellEnd"/>
      <w:r>
        <w:t>)</w:t>
      </w:r>
      <w:r>
        <w:rPr>
          <w:vertAlign w:val="superscript"/>
        </w:rPr>
        <w:t>-1</w:t>
      </w:r>
    </w:p>
    <w:p w14:paraId="0000001B" w14:textId="77777777" w:rsidR="00560976" w:rsidRDefault="007C28C4">
      <w:pPr>
        <w:numPr>
          <w:ilvl w:val="0"/>
          <w:numId w:val="1"/>
        </w:numPr>
      </w:pPr>
      <w:r>
        <w:t xml:space="preserve">Verify EIS operating frequencies reported in Ref. 1 (0.1 Hz to limit of DAQ) using the </w:t>
      </w:r>
      <w:proofErr w:type="spellStart"/>
      <w:r>
        <w:t>Kramers-Kronig</w:t>
      </w:r>
      <w:proofErr w:type="spellEnd"/>
      <w:r>
        <w:t xml:space="preserve"> Transform.</w:t>
      </w:r>
    </w:p>
    <w:p w14:paraId="0000001C" w14:textId="77777777" w:rsidR="00560976" w:rsidRDefault="007C28C4">
      <w:pPr>
        <w:spacing w:before="240" w:after="240"/>
        <w:rPr>
          <w:u w:val="single"/>
        </w:rPr>
      </w:pPr>
      <w:r>
        <w:rPr>
          <w:u w:val="single"/>
        </w:rPr>
        <w:t>Optional Materials</w:t>
      </w:r>
    </w:p>
    <w:p w14:paraId="0000001D" w14:textId="77777777" w:rsidR="00560976" w:rsidRDefault="007C28C4">
      <w:pPr>
        <w:numPr>
          <w:ilvl w:val="0"/>
          <w:numId w:val="2"/>
        </w:numPr>
        <w:spacing w:before="240" w:after="240"/>
      </w:pPr>
      <w:r>
        <w:t xml:space="preserve">Commercial Potentiostat to eliminate </w:t>
      </w:r>
      <w:proofErr w:type="spellStart"/>
      <w:r>
        <w:t>myDAQ</w:t>
      </w:r>
      <w:proofErr w:type="spellEnd"/>
      <w:r>
        <w:t xml:space="preserve"> issues with sampl</w:t>
      </w:r>
      <w:r>
        <w:t>ing in AC methods and increase the range of operating frequencies.</w:t>
      </w:r>
    </w:p>
    <w:p w14:paraId="0000001E" w14:textId="77777777" w:rsidR="00560976" w:rsidRDefault="007C28C4">
      <w:pPr>
        <w:spacing w:before="240" w:after="240"/>
        <w:rPr>
          <w:u w:val="single"/>
        </w:rPr>
      </w:pPr>
      <w:r>
        <w:rPr>
          <w:u w:val="single"/>
        </w:rPr>
        <w:t>Primary and Secondary References</w:t>
      </w:r>
    </w:p>
    <w:p w14:paraId="0000001F" w14:textId="77777777" w:rsidR="00560976" w:rsidRDefault="007C28C4">
      <w:pPr>
        <w:numPr>
          <w:ilvl w:val="0"/>
          <w:numId w:val="4"/>
        </w:numPr>
        <w:spacing w:line="324" w:lineRule="auto"/>
        <w:ind w:right="80"/>
      </w:pPr>
      <w:proofErr w:type="spellStart"/>
      <w:r>
        <w:t>Tsierkezos</w:t>
      </w:r>
      <w:proofErr w:type="spellEnd"/>
      <w:r>
        <w:t xml:space="preserve">, N. G.; Ritter, U. Electrochemical Impedance Spectroscopy and Cyclic Voltammetry of Ferrocene in Acetonitrile/Acetone System. </w:t>
      </w:r>
      <w:r>
        <w:rPr>
          <w:i/>
        </w:rPr>
        <w:t xml:space="preserve">J. Appl. </w:t>
      </w:r>
      <w:proofErr w:type="spellStart"/>
      <w:r>
        <w:rPr>
          <w:i/>
        </w:rPr>
        <w:t>Electroche</w:t>
      </w:r>
      <w:r>
        <w:rPr>
          <w:i/>
        </w:rPr>
        <w:t>m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2010</w:t>
      </w:r>
      <w:r>
        <w:t xml:space="preserve">, </w:t>
      </w:r>
      <w:r>
        <w:rPr>
          <w:i/>
        </w:rPr>
        <w:t>40</w:t>
      </w:r>
      <w:r>
        <w:t xml:space="preserve"> (2), 409–417.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doi.org/10.1007/s10800-009-0011-3</w:t>
        </w:r>
      </w:hyperlink>
      <w:r>
        <w:t>.</w:t>
      </w:r>
    </w:p>
    <w:p w14:paraId="00000020" w14:textId="77777777" w:rsidR="00560976" w:rsidRDefault="007C28C4">
      <w:pPr>
        <w:numPr>
          <w:ilvl w:val="0"/>
          <w:numId w:val="4"/>
        </w:numPr>
        <w:spacing w:line="324" w:lineRule="auto"/>
        <w:ind w:right="80"/>
      </w:pPr>
      <w:r>
        <w:t xml:space="preserve">Nicholson, R. S. Theory and Application of Cyclic Voltammetry for Measurement of Electrode Reaction Kinetics. </w:t>
      </w:r>
      <w:r>
        <w:rPr>
          <w:i/>
        </w:rPr>
        <w:t>Anal. Chem.</w:t>
      </w:r>
      <w:r>
        <w:t xml:space="preserve"> </w:t>
      </w:r>
      <w:r>
        <w:rPr>
          <w:b/>
        </w:rPr>
        <w:t>1965</w:t>
      </w:r>
      <w:r>
        <w:t xml:space="preserve">, </w:t>
      </w:r>
      <w:r>
        <w:rPr>
          <w:i/>
        </w:rPr>
        <w:t>37</w:t>
      </w:r>
      <w:r>
        <w:t xml:space="preserve"> (11), 1351–1355.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https://doi.org/10.1021/ac60230a016</w:t>
        </w:r>
      </w:hyperlink>
      <w:r>
        <w:t>.</w:t>
      </w:r>
    </w:p>
    <w:sectPr w:rsidR="00560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B39"/>
    <w:multiLevelType w:val="multilevel"/>
    <w:tmpl w:val="910E3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40ACB"/>
    <w:multiLevelType w:val="multilevel"/>
    <w:tmpl w:val="6AF6C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0A0E0A"/>
    <w:multiLevelType w:val="multilevel"/>
    <w:tmpl w:val="84122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131A2E"/>
    <w:multiLevelType w:val="multilevel"/>
    <w:tmpl w:val="168C5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76"/>
    <w:rsid w:val="00560976"/>
    <w:rsid w:val="007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5604"/>
  <w15:docId w15:val="{84DCB4CE-C433-4C91-A948-7AE915C0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60230a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0800-009-0011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800-009-0011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fetynet.web.unc.edu/wp-content/uploads/sites/12158/2017/09/ElectrodePolishing_Miller_20160805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1/ac60230a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Gage Wright</cp:lastModifiedBy>
  <cp:revision>2</cp:revision>
  <dcterms:created xsi:type="dcterms:W3CDTF">2021-10-31T22:00:00Z</dcterms:created>
  <dcterms:modified xsi:type="dcterms:W3CDTF">2021-10-31T22:01:00Z</dcterms:modified>
</cp:coreProperties>
</file>