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CO2mply | Audit Summary</w:t>
      </w:r>
    </w:p>
    <w:p/>
    <w:p>
      <w:r>
        <w:rPr>
          <w:b/>
          <w:sz w:val="30"/>
        </w:rPr>
        <w:t>Auditoria Resumida Isometric</w:t>
      </w:r>
    </w:p>
    <w:p/>
    <w:p>
      <w:pPr>
        <w:pStyle w:val="ListBullet"/>
      </w:pPr>
      <w:r>
        <w:t>Total de requisitos avaliados: 48</w:t>
      </w:r>
    </w:p>
    <w:p>
      <w:pPr>
        <w:pStyle w:val="ListBullet"/>
      </w:pPr>
      <w:r>
        <w:t>Score geral: 87.2%</w:t>
      </w:r>
    </w:p>
    <w:p>
      <w:pPr>
        <w:pStyle w:val="ListBullet"/>
      </w:pPr>
      <w:r>
        <w:t>Confiança geral: 0.2%</w:t>
      </w:r>
    </w:p>
    <w:p/>
    <w:p>
      <w:r>
        <w:rPr>
          <w:b/>
          <w:sz w:val="26"/>
        </w:rPr>
        <w:t>Resumo por status</w:t>
      </w:r>
    </w:p>
    <w:p>
      <w:pPr>
        <w:pStyle w:val="ListBullet"/>
      </w:pPr>
      <w:r>
        <w:t>Conforme: 27</w:t>
      </w:r>
    </w:p>
    <w:p>
      <w:pPr>
        <w:pStyle w:val="ListBullet"/>
      </w:pPr>
      <w:r>
        <w:t>Parcialmente conforme: 11</w:t>
      </w:r>
    </w:p>
    <w:p>
      <w:pPr>
        <w:pStyle w:val="ListBullet"/>
      </w:pPr>
      <w:r>
        <w:t>Erro de análise: 10</w:t>
      </w:r>
    </w:p>
    <w:p/>
    <w:p>
      <w:r>
        <w:rPr>
          <w:b/>
          <w:sz w:val="26"/>
        </w:rPr>
        <w:t>Resumo por risco</w:t>
      </w:r>
    </w:p>
    <w:p>
      <w:pPr>
        <w:pStyle w:val="ListBullet"/>
      </w:pPr>
      <w:r>
        <w:t>alto: 48</w:t>
      </w:r>
    </w:p>
    <w:p/>
    <w:p>
      <w:r>
        <w:rPr>
          <w:b/>
          <w:sz w:val="26"/>
        </w:rPr>
        <w:t>Score por módulo</w:t>
      </w:r>
    </w:p>
    <w:p>
      <w:pPr>
        <w:pStyle w:val="ListBullet"/>
      </w:pPr>
      <w:r>
        <w:t>project_data: 90.8</w:t>
      </w:r>
    </w:p>
    <w:p>
      <w:pPr>
        <w:pStyle w:val="ListBullet"/>
      </w:pPr>
      <w:r>
        <w:t>protocol_and_monitoring_data: 84.4</w:t>
      </w:r>
    </w:p>
    <w:p>
      <w:pPr>
        <w:pStyle w:val="ListBullet"/>
      </w:pPr>
      <w:r>
        <w:t>environmental_and_social_impact: 93.1</w:t>
      </w:r>
    </w:p>
    <w:p>
      <w:pPr>
        <w:pStyle w:val="ListBullet"/>
      </w:pPr>
      <w:r>
        <w:t>stakeholder_input_process: 45.0</w:t>
      </w:r>
    </w:p>
    <w:p>
      <w:pPr>
        <w:pStyle w:val="ListBullet"/>
      </w:pPr>
      <w:r>
        <w:t>appendix: 100.0</w:t>
      </w:r>
    </w:p>
    <w:p/>
    <w:p>
      <w:r>
        <w:rPr>
          <w:b/>
          <w:sz w:val="26"/>
        </w:rPr>
        <w:t>Matriz detalhada</w:t>
      </w:r>
    </w:p>
    <w:p/>
    <w:p>
      <w:r>
        <w:rPr>
          <w:b/>
          <w:sz w:val="23"/>
        </w:rPr>
        <w:t>R-NK7R-0 — Protocol eligibility justification</w:t>
      </w:r>
    </w:p>
    <w:p>
      <w:pPr>
        <w:pStyle w:val="ListBullet"/>
      </w:pPr>
      <w:r>
        <w:t>Módulo: project_data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R-M858-0 — Legal ownership over removal rights</w:t>
      </w:r>
    </w:p>
    <w:p>
      <w:pPr>
        <w:pStyle w:val="ListBullet"/>
      </w:pPr>
      <w:r>
        <w:t>Módulo: project_data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R-7X0X-0 — Technical description of carbon removal activity</w:t>
      </w:r>
    </w:p>
    <w:p>
      <w:pPr>
        <w:pStyle w:val="ListBullet"/>
      </w:pPr>
      <w:r>
        <w:t>Módulo: project_data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R-F6R7-0 — Complete list of project participants</w:t>
      </w:r>
    </w:p>
    <w:p>
      <w:pPr>
        <w:pStyle w:val="ListBullet"/>
      </w:pPr>
      <w:r>
        <w:t>Módulo: project_data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R-A5B6-0 — Project address and/or geo-coordinates</w:t>
      </w:r>
    </w:p>
    <w:p>
      <w:pPr>
        <w:pStyle w:val="ListBullet"/>
      </w:pPr>
      <w:r>
        <w:t>Módulo: project_data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R-XT6V-0 — Net carbon removal capacity estimate</w:t>
      </w:r>
    </w:p>
    <w:p>
      <w:pPr>
        <w:pStyle w:val="ListBullet"/>
      </w:pPr>
      <w:r>
        <w:t>Módulo: project_data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45</w:t>
      </w:r>
    </w:p>
    <w:p>
      <w:pPr>
        <w:pStyle w:val="ListBullet"/>
      </w:pPr>
      <w:r>
        <w:t>Confiança: 0.2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Provide missing documentation and strengthen evidence for identified gaps.</w:t>
      </w:r>
    </w:p>
    <w:p/>
    <w:p>
      <w:r>
        <w:rPr>
          <w:b/>
          <w:sz w:val="23"/>
        </w:rPr>
        <w:t>R-VHWJ-0 — Temporal and geographic project boundary defined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0.3333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R-2VKW-0 — System boundary with GHG sources defined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0.3333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R-TGBM-0 — GHG statement approach and calculation methodology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0.3333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R-PGFH-0 — Baseline scenario reasoned and evidenced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R-HF2G-0 — Leakage assessment provided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45</w:t>
      </w:r>
    </w:p>
    <w:p>
      <w:pPr>
        <w:pStyle w:val="ListBullet"/>
      </w:pPr>
      <w:r>
        <w:t>Confiança: 0.2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Provide missing documentation and strengthen evidence for identified gaps.</w:t>
      </w:r>
    </w:p>
    <w:p/>
    <w:p>
      <w:r>
        <w:rPr>
          <w:b/>
          <w:sz w:val="23"/>
        </w:rPr>
        <w:t>R-53Y5-0 — Financial additionality demonstrated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60.0</w:t>
      </w:r>
    </w:p>
    <w:p>
      <w:pPr>
        <w:pStyle w:val="ListBullet"/>
      </w:pPr>
      <w:r>
        <w:t>Confiança: 0.3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Provide missing documentation and strengthen evidence for identified gaps.</w:t>
      </w:r>
    </w:p>
    <w:p/>
    <w:p>
      <w:r>
        <w:rPr>
          <w:b/>
          <w:sz w:val="23"/>
        </w:rPr>
        <w:t>R-RRST-0 — Common practice additionality demonstrated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R-CDNF-0 — Environmental additionality (net negative impact) demonstrated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R-983D-0 — Regulatory additionality demonstrated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45</w:t>
      </w:r>
    </w:p>
    <w:p>
      <w:pPr>
        <w:pStyle w:val="ListBullet"/>
      </w:pPr>
      <w:r>
        <w:t>Confiança: 0.2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Provide missing documentation and strengthen evidence for identified gaps.</w:t>
      </w:r>
    </w:p>
    <w:p/>
    <w:p>
      <w:r>
        <w:rPr>
          <w:b/>
          <w:sz w:val="23"/>
        </w:rPr>
        <w:t>R-KQCS-0 — Regulatory compliance method asserted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high</w:t>
      </w:r>
    </w:p>
    <w:p>
      <w:pPr>
        <w:pStyle w:val="ListBullet"/>
      </w:pPr>
      <w:r>
        <w:t>Score: 45</w:t>
      </w:r>
    </w:p>
    <w:p>
      <w:pPr>
        <w:pStyle w:val="ListBullet"/>
      </w:pPr>
      <w:r>
        <w:t>Confiança: 0.0</w:t>
      </w:r>
    </w:p>
    <w:p>
      <w:pPr>
        <w:pStyle w:val="ListBullet"/>
      </w:pPr>
      <w:r>
        <w:t>Gap: Core requirement not met or insufficiently evidenced.</w:t>
      </w:r>
    </w:p>
    <w:p>
      <w:pPr>
        <w:pStyle w:val="ListBullet"/>
      </w:pPr>
      <w:r>
        <w:t>Recomendação: Establish missing core elements required for compliance.</w:t>
      </w:r>
    </w:p>
    <w:p/>
    <w:p>
      <w:r>
        <w:rPr>
          <w:b/>
          <w:sz w:val="23"/>
        </w:rPr>
        <w:t>R-7C8E-0 — Durability threshold selected from protocol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R-1T2Y-0 — Durability in excess of threshold demonstrated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p>
      <w:r>
        <w:rPr>
          <w:b/>
          <w:sz w:val="23"/>
        </w:rPr>
        <w:t>R-F5RZ-0 — Annual average soil temperature method provided (200-year option)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p>
      <w:r>
        <w:rPr>
          <w:b/>
          <w:sz w:val="23"/>
        </w:rPr>
        <w:t>R-V143-0 — Reversal risk assessment completed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R-2AVD-0 — Sensitivity analysis conducted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80.0</w:t>
      </w:r>
    </w:p>
    <w:p>
      <w:pPr>
        <w:pStyle w:val="ListBullet"/>
      </w:pPr>
      <w:r>
        <w:t>Confiança: 0.2667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Provide missing documentation and strengthen evidence for identified gaps.</w:t>
      </w:r>
    </w:p>
    <w:p/>
    <w:p>
      <w:r>
        <w:rPr>
          <w:b/>
          <w:sz w:val="23"/>
        </w:rPr>
        <w:t>R-K6MA-0 — Uncertainty treatment method specified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80.0</w:t>
      </w:r>
    </w:p>
    <w:p>
      <w:pPr>
        <w:pStyle w:val="ListBullet"/>
      </w:pPr>
      <w:r>
        <w:t>Confiança: 0.2667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Provide missing documentation and strengthen evidence for identified gaps.</w:t>
      </w:r>
    </w:p>
    <w:p/>
    <w:p>
      <w:r>
        <w:rPr>
          <w:b/>
          <w:sz w:val="23"/>
        </w:rPr>
        <w:t>R-Z106-0 — Uncertainty analysis detailed and justified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80.0</w:t>
      </w:r>
    </w:p>
    <w:p>
      <w:pPr>
        <w:pStyle w:val="ListBullet"/>
      </w:pPr>
      <w:r>
        <w:t>Confiança: 0.2667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Provide missing documentation and strengthen evidence for identified gaps.</w:t>
      </w:r>
    </w:p>
    <w:p/>
    <w:p>
      <w:r>
        <w:rPr>
          <w:b/>
          <w:sz w:val="23"/>
        </w:rPr>
        <w:t>R-NZQ2-0 — Models described and justified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R-GYA1-0 — Data collection and storage approach described</w:t>
      </w:r>
    </w:p>
    <w:p>
      <w:pPr>
        <w:pStyle w:val="ListBullet"/>
      </w:pPr>
      <w:r>
        <w:t>Módulo: protocol_and_monitoring_data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R-9MJQ-0 — Environmental regulatory compliance outlined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R-X9EC-0 — Environmental and social impact assessment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R-4K5P-0 — No net environmental harm demonstrated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R-R81B-0 — No net social harm demonstrated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R-5KQC-0 — Agricultural productivity and soil quality monitoring documented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p>
      <w:r>
        <w:rPr>
          <w:b/>
          <w:sz w:val="23"/>
        </w:rPr>
        <w:t>R-BWX0-0 — Alignment with relevant SDGs demonstrated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R-6VFZ-0 — Project closure conditions and plan described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R-BC4H-0 — Adaptive management plan: information sharing, emergency response, pause/stop conditions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0.25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R-MY64-0 — Pollution prevention: PAHs, heavy metals, PCBs/Dioxins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45</w:t>
      </w:r>
    </w:p>
    <w:p>
      <w:pPr>
        <w:pStyle w:val="ListBullet"/>
      </w:pPr>
      <w:r>
        <w:t>Confiança: 0.1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Provide missing documentation and strengthen evidence for identified gaps.</w:t>
      </w:r>
    </w:p>
    <w:p/>
    <w:p>
      <w:r>
        <w:rPr>
          <w:b/>
          <w:sz w:val="23"/>
        </w:rPr>
        <w:t>R-M760-0 — Baseline soil samples collected prior to biochar spreading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p>
      <w:r>
        <w:rPr>
          <w:b/>
          <w:sz w:val="23"/>
        </w:rPr>
        <w:t>R-1YC3-0 — Co-benefits related to soil health reported (optional)</w:t>
      </w:r>
    </w:p>
    <w:p>
      <w:pPr>
        <w:pStyle w:val="ListBullet"/>
      </w:pPr>
      <w:r>
        <w:t>Módulo: environmental_and_social_impact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p>
      <w:r>
        <w:rPr>
          <w:b/>
          <w:sz w:val="23"/>
        </w:rPr>
        <w:t>R-ZHRN-0 — Stakeholder consultation documented</w:t>
      </w:r>
    </w:p>
    <w:p>
      <w:pPr>
        <w:pStyle w:val="ListBullet"/>
      </w:pPr>
      <w:r>
        <w:t>Módulo: stakeholder_input_process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45</w:t>
      </w:r>
    </w:p>
    <w:p>
      <w:pPr>
        <w:pStyle w:val="ListBullet"/>
      </w:pPr>
      <w:r>
        <w:t>Confiança: 0.2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Strengthen consistency and completeness of existing evidence.</w:t>
      </w:r>
    </w:p>
    <w:p/>
    <w:p>
      <w:r>
        <w:rPr>
          <w:b/>
          <w:sz w:val="23"/>
        </w:rPr>
        <w:t>R-E579-0 — Grievance mechanism outlined</w:t>
      </w:r>
    </w:p>
    <w:p>
      <w:pPr>
        <w:pStyle w:val="ListBullet"/>
      </w:pPr>
      <w:r>
        <w:t>Módulo: stakeholder_input_process</w:t>
      </w:r>
    </w:p>
    <w:p>
      <w:pPr>
        <w:pStyle w:val="ListBullet"/>
      </w:pPr>
      <w:r>
        <w:t>Status: partial</w:t>
      </w:r>
    </w:p>
    <w:p>
      <w:pPr>
        <w:pStyle w:val="ListBullet"/>
      </w:pPr>
      <w:r>
        <w:t>Risco: medium</w:t>
      </w:r>
    </w:p>
    <w:p>
      <w:pPr>
        <w:pStyle w:val="ListBullet"/>
      </w:pPr>
      <w:r>
        <w:t>Score: 45</w:t>
      </w:r>
    </w:p>
    <w:p>
      <w:pPr>
        <w:pStyle w:val="ListBullet"/>
      </w:pPr>
      <w:r>
        <w:t>Confiança: 0.2</w:t>
      </w:r>
    </w:p>
    <w:p>
      <w:pPr>
        <w:pStyle w:val="ListBullet"/>
      </w:pPr>
      <w:r>
        <w:t>Gap: Partial evidence available; some required elements are incomplete.</w:t>
      </w:r>
    </w:p>
    <w:p>
      <w:pPr>
        <w:pStyle w:val="ListBullet"/>
      </w:pPr>
      <w:r>
        <w:t>Recomendação: Strengthen consistency and completeness of existing evidence.</w:t>
      </w:r>
    </w:p>
    <w:p/>
    <w:p>
      <w:r>
        <w:rPr>
          <w:b/>
          <w:sz w:val="23"/>
        </w:rPr>
        <w:t>R-ENZR-0 — Monitoring parameter table provided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R-6AQG-0 — Engineering design diagram of pyrolysis reactor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0.25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R-SZK5-0 — Pyrolysis gas leakage sensors described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0.25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R-DMET-0 — Reactor material selection justified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0.25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R-19AF-0 — Reactor maintenance plan evidenced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compliant</w:t>
      </w:r>
    </w:p>
    <w:p>
      <w:pPr>
        <w:pStyle w:val="ListBullet"/>
      </w:pPr>
      <w:r>
        <w:t>Risco: low</w:t>
      </w:r>
    </w:p>
    <w:p>
      <w:pPr>
        <w:pStyle w:val="ListBullet"/>
      </w:pPr>
      <w:r>
        <w:t>Score: 100.0</w:t>
      </w:r>
    </w:p>
    <w:p>
      <w:pPr>
        <w:pStyle w:val="ListBullet"/>
      </w:pPr>
      <w:r>
        <w:t>Confiança: 0.25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Maintain current evidence and proceed to validation readiness.</w:t>
      </w:r>
    </w:p>
    <w:p/>
    <w:p>
      <w:r>
        <w:rPr>
          <w:b/>
          <w:sz w:val="23"/>
        </w:rPr>
        <w:t>R-S8K1-1 — Sampling procedure described and justified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p>
      <w:r>
        <w:rPr>
          <w:b/>
          <w:sz w:val="23"/>
        </w:rPr>
        <w:t>R-CXEP-0 — Biochar characterization standards listed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p>
      <w:r>
        <w:rPr>
          <w:b/>
          <w:sz w:val="23"/>
        </w:rPr>
        <w:t>R-7W1N-0 — Biochar physical properties measured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p>
      <w:r>
        <w:rPr>
          <w:b/>
          <w:sz w:val="23"/>
        </w:rPr>
        <w:t>R-VGXA-0 — Biochar chemical properties measured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p>
      <w:r>
        <w:rPr>
          <w:b/>
          <w:sz w:val="23"/>
        </w:rPr>
        <w:t>R-2TMM-0 — Analytical laboratory identified and qualified</w:t>
      </w:r>
    </w:p>
    <w:p>
      <w:pPr>
        <w:pStyle w:val="ListBullet"/>
      </w:pPr>
      <w:r>
        <w:t>Módulo: appendix</w:t>
      </w:r>
    </w:p>
    <w:p>
      <w:pPr>
        <w:pStyle w:val="ListBullet"/>
      </w:pPr>
      <w:r>
        <w:t>Status: not_applicable</w:t>
      </w:r>
    </w:p>
    <w:p>
      <w:pPr>
        <w:pStyle w:val="ListBullet"/>
      </w:pPr>
      <w:r>
        <w:t>Risco: none</w:t>
      </w:r>
    </w:p>
    <w:p>
      <w:pPr>
        <w:pStyle w:val="ListBullet"/>
      </w:pPr>
      <w:r>
        <w:t>Score:</w:t>
      </w:r>
    </w:p>
    <w:p>
      <w:pPr>
        <w:pStyle w:val="ListBullet"/>
      </w:pPr>
      <w:r>
        <w:t>Confiança: 1.0</w:t>
      </w:r>
    </w:p>
    <w:p>
      <w:pPr>
        <w:pStyle w:val="ListBullet"/>
      </w:pPr>
      <w:r>
        <w:t>Gap:</w:t>
      </w:r>
    </w:p>
    <w:p>
      <w:pPr>
        <w:pStyle w:val="ListBullet"/>
      </w:pPr>
      <w:r>
        <w:t>Recomendação: Providencie esta evidência quando o projeto estiver operacional.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