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CellSpacing w:w="0" w:type="dxa"/>
        <w:shd w:val="clear" w:color="auto" w:fill="FFFFFF"/>
        <w:tblCellMar>
          <w:left w:w="0" w:type="dxa"/>
          <w:right w:w="0" w:type="dxa"/>
        </w:tblCellMar>
        <w:tblLook w:val="04A0" w:firstRow="1" w:lastRow="0" w:firstColumn="1" w:lastColumn="0" w:noHBand="0" w:noVBand="1"/>
      </w:tblPr>
      <w:tblGrid>
        <w:gridCol w:w="9330"/>
      </w:tblGrid>
      <w:tr w:rsidR="007254A2" w14:paraId="61F310C2" w14:textId="77777777" w:rsidTr="007254A2">
        <w:trPr>
          <w:tblCellSpacing w:w="0" w:type="dxa"/>
        </w:trPr>
        <w:tc>
          <w:tcPr>
            <w:tcW w:w="0" w:type="auto"/>
            <w:shd w:val="clear" w:color="auto" w:fill="FFFFFF"/>
            <w:vAlign w:val="center"/>
            <w:hideMark/>
          </w:tcPr>
          <w:p w14:paraId="360B1360" w14:textId="0C505054" w:rsidR="007254A2" w:rsidRDefault="007254A2">
            <w:pPr>
              <w:spacing w:line="252" w:lineRule="auto"/>
            </w:pPr>
            <w:r>
              <w:rPr>
                <w:noProof/>
                <w:color w:val="0000FF"/>
                <w:sz w:val="24"/>
                <w:szCs w:val="24"/>
                <w:shd w:val="clear" w:color="auto" w:fill="E6E6E6"/>
              </w:rPr>
              <w:drawing>
                <wp:inline distT="0" distB="0" distL="0" distR="0" wp14:anchorId="01C9CEB1" wp14:editId="0665D95C">
                  <wp:extent cx="5924550" cy="1492250"/>
                  <wp:effectExtent l="0" t="0" r="0" b="12700"/>
                  <wp:docPr id="1" name="Picture 1" descr="A Special Campus Announcement from Texas A&amp;M University-Corpus Christi- Research &amp; Innovation">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ecial Campus Announcement from Texas A&amp;M University-Corpus Christi- Research &amp; Innovation"/>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924550" cy="1492250"/>
                          </a:xfrm>
                          <a:prstGeom prst="rect">
                            <a:avLst/>
                          </a:prstGeom>
                          <a:noFill/>
                          <a:ln>
                            <a:noFill/>
                          </a:ln>
                        </pic:spPr>
                      </pic:pic>
                    </a:graphicData>
                  </a:graphic>
                </wp:inline>
              </w:drawing>
            </w:r>
          </w:p>
        </w:tc>
      </w:tr>
    </w:tbl>
    <w:p w14:paraId="44D6CCE0" w14:textId="77777777" w:rsidR="007254A2" w:rsidRDefault="007254A2" w:rsidP="007254A2">
      <w:pPr>
        <w:spacing w:line="252" w:lineRule="auto"/>
      </w:pPr>
    </w:p>
    <w:tbl>
      <w:tblPr>
        <w:tblW w:w="9315" w:type="dxa"/>
        <w:tblCellSpacing w:w="0" w:type="dxa"/>
        <w:tblCellMar>
          <w:left w:w="0" w:type="dxa"/>
          <w:right w:w="0" w:type="dxa"/>
        </w:tblCellMar>
        <w:tblLook w:val="04A0" w:firstRow="1" w:lastRow="0" w:firstColumn="1" w:lastColumn="0" w:noHBand="0" w:noVBand="1"/>
      </w:tblPr>
      <w:tblGrid>
        <w:gridCol w:w="165"/>
        <w:gridCol w:w="8790"/>
        <w:gridCol w:w="360"/>
      </w:tblGrid>
      <w:tr w:rsidR="007254A2" w14:paraId="6D02C52A" w14:textId="77777777" w:rsidTr="007254A2">
        <w:trPr>
          <w:tblCellSpacing w:w="0" w:type="dxa"/>
        </w:trPr>
        <w:tc>
          <w:tcPr>
            <w:tcW w:w="165" w:type="dxa"/>
            <w:tcMar>
              <w:top w:w="150" w:type="dxa"/>
              <w:left w:w="0" w:type="dxa"/>
              <w:bottom w:w="0" w:type="dxa"/>
              <w:right w:w="0" w:type="dxa"/>
            </w:tcMar>
            <w:vAlign w:val="center"/>
            <w:hideMark/>
          </w:tcPr>
          <w:p w14:paraId="7F7E8483" w14:textId="77777777" w:rsidR="007254A2" w:rsidRDefault="007254A2">
            <w:pPr>
              <w:spacing w:line="252" w:lineRule="auto"/>
            </w:pPr>
            <w:r>
              <w:rPr>
                <w:rFonts w:ascii="Garamond" w:hAnsi="Garamond"/>
                <w:sz w:val="24"/>
                <w:szCs w:val="24"/>
              </w:rPr>
              <w:t> </w:t>
            </w:r>
          </w:p>
        </w:tc>
        <w:tc>
          <w:tcPr>
            <w:tcW w:w="8790" w:type="dxa"/>
            <w:tcMar>
              <w:top w:w="150" w:type="dxa"/>
              <w:left w:w="0" w:type="dxa"/>
              <w:bottom w:w="0" w:type="dxa"/>
              <w:right w:w="0" w:type="dxa"/>
            </w:tcMar>
            <w:vAlign w:val="center"/>
            <w:hideMark/>
          </w:tcPr>
          <w:tbl>
            <w:tblPr>
              <w:tblW w:w="0" w:type="auto"/>
              <w:tblCellSpacing w:w="12" w:type="dxa"/>
              <w:tblCellMar>
                <w:left w:w="0" w:type="dxa"/>
                <w:right w:w="0" w:type="dxa"/>
              </w:tblCellMar>
              <w:tblLook w:val="04A0" w:firstRow="1" w:lastRow="0" w:firstColumn="1" w:lastColumn="0" w:noHBand="0" w:noVBand="1"/>
            </w:tblPr>
            <w:tblGrid>
              <w:gridCol w:w="8764"/>
            </w:tblGrid>
            <w:tr w:rsidR="007254A2" w14:paraId="738DBD4F" w14:textId="77777777">
              <w:trPr>
                <w:trHeight w:val="8635"/>
                <w:tblCellSpacing w:w="12" w:type="dxa"/>
              </w:trPr>
              <w:tc>
                <w:tcPr>
                  <w:tcW w:w="8716" w:type="dxa"/>
                  <w:tcMar>
                    <w:top w:w="15" w:type="dxa"/>
                    <w:left w:w="15" w:type="dxa"/>
                    <w:bottom w:w="15" w:type="dxa"/>
                    <w:right w:w="15" w:type="dxa"/>
                  </w:tcMar>
                  <w:vAlign w:val="center"/>
                </w:tcPr>
                <w:p w14:paraId="33AE9F4F" w14:textId="77777777" w:rsidR="007254A2" w:rsidRDefault="007254A2">
                  <w:pPr>
                    <w:spacing w:line="252" w:lineRule="auto"/>
                    <w:jc w:val="center"/>
                    <w:rPr>
                      <w:b/>
                      <w:bCs/>
                      <w:sz w:val="24"/>
                      <w:szCs w:val="24"/>
                    </w:rPr>
                  </w:pPr>
                  <w:r>
                    <w:rPr>
                      <w:b/>
                      <w:bCs/>
                      <w:sz w:val="24"/>
                      <w:szCs w:val="24"/>
                    </w:rPr>
                    <w:t>TCRF Research/Creative Activity Seed Grant Program</w:t>
                  </w:r>
                </w:p>
                <w:p w14:paraId="4D226E25" w14:textId="77777777" w:rsidR="007254A2" w:rsidRDefault="007254A2">
                  <w:pPr>
                    <w:spacing w:line="252" w:lineRule="auto"/>
                    <w:jc w:val="center"/>
                    <w:rPr>
                      <w:b/>
                      <w:bCs/>
                      <w:sz w:val="24"/>
                      <w:szCs w:val="24"/>
                    </w:rPr>
                  </w:pPr>
                </w:p>
                <w:p w14:paraId="3CE8501E" w14:textId="77777777" w:rsidR="007254A2" w:rsidRDefault="007254A2">
                  <w:pPr>
                    <w:spacing w:line="252" w:lineRule="auto"/>
                    <w:jc w:val="center"/>
                    <w:rPr>
                      <w:b/>
                      <w:bCs/>
                      <w:sz w:val="24"/>
                      <w:szCs w:val="24"/>
                    </w:rPr>
                  </w:pPr>
                  <w:r>
                    <w:rPr>
                      <w:b/>
                      <w:bCs/>
                      <w:sz w:val="24"/>
                      <w:szCs w:val="24"/>
                    </w:rPr>
                    <w:t>Deadline: September 1, 2023, 5:00 p.m. Central</w:t>
                  </w:r>
                </w:p>
                <w:p w14:paraId="37565E19" w14:textId="77777777" w:rsidR="007254A2" w:rsidRDefault="007254A2">
                  <w:pPr>
                    <w:spacing w:line="252" w:lineRule="auto"/>
                    <w:jc w:val="center"/>
                    <w:rPr>
                      <w:b/>
                      <w:bCs/>
                      <w:sz w:val="24"/>
                      <w:szCs w:val="24"/>
                    </w:rPr>
                  </w:pPr>
                </w:p>
                <w:p w14:paraId="0764BEB3" w14:textId="77777777" w:rsidR="007254A2" w:rsidRDefault="007254A2">
                  <w:pPr>
                    <w:spacing w:line="252" w:lineRule="auto"/>
                    <w:rPr>
                      <w:sz w:val="24"/>
                      <w:szCs w:val="24"/>
                    </w:rPr>
                  </w:pPr>
                  <w:r>
                    <w:rPr>
                      <w:b/>
                      <w:bCs/>
                      <w:i/>
                      <w:iCs/>
                      <w:sz w:val="24"/>
                      <w:szCs w:val="24"/>
                    </w:rPr>
                    <w:t>Overview:</w:t>
                  </w:r>
                  <w:r>
                    <w:rPr>
                      <w:i/>
                      <w:iCs/>
                      <w:sz w:val="24"/>
                      <w:szCs w:val="24"/>
                    </w:rPr>
                    <w:t xml:space="preserve"> </w:t>
                  </w:r>
                  <w:r>
                    <w:rPr>
                      <w:sz w:val="24"/>
                      <w:szCs w:val="24"/>
                    </w:rPr>
                    <w:t xml:space="preserve">The Research/Creative Activity Seed Grant Program provides intramural grant support ranging from $5,000 to $30,000 for projects demonstrating innovation in </w:t>
                  </w:r>
                  <w:r>
                    <w:rPr>
                      <w:b/>
                      <w:bCs/>
                      <w:sz w:val="24"/>
                      <w:szCs w:val="24"/>
                    </w:rPr>
                    <w:t>either</w:t>
                  </w:r>
                  <w:r>
                    <w:rPr>
                      <w:sz w:val="24"/>
                      <w:szCs w:val="24"/>
                    </w:rPr>
                    <w:t>:</w:t>
                  </w:r>
                </w:p>
                <w:p w14:paraId="3EF495CB" w14:textId="77777777" w:rsidR="007254A2" w:rsidRDefault="007254A2">
                  <w:pPr>
                    <w:spacing w:line="252" w:lineRule="auto"/>
                    <w:rPr>
                      <w:sz w:val="24"/>
                      <w:szCs w:val="24"/>
                    </w:rPr>
                  </w:pPr>
                </w:p>
                <w:p w14:paraId="48237280" w14:textId="77777777" w:rsidR="007254A2" w:rsidRDefault="007254A2" w:rsidP="006A79ED">
                  <w:pPr>
                    <w:pStyle w:val="ListParagraph"/>
                    <w:numPr>
                      <w:ilvl w:val="0"/>
                      <w:numId w:val="1"/>
                    </w:numPr>
                    <w:spacing w:after="160" w:line="252" w:lineRule="auto"/>
                    <w:rPr>
                      <w:rFonts w:eastAsia="Times New Roman"/>
                      <w:sz w:val="24"/>
                      <w:szCs w:val="24"/>
                    </w:rPr>
                  </w:pPr>
                  <w:r>
                    <w:rPr>
                      <w:rFonts w:eastAsia="Times New Roman"/>
                      <w:sz w:val="24"/>
                      <w:szCs w:val="24"/>
                    </w:rPr>
                    <w:t xml:space="preserve">The collection of preliminary data that will be leveraged for extramural grant </w:t>
                  </w:r>
                  <w:proofErr w:type="gramStart"/>
                  <w:r>
                    <w:rPr>
                      <w:rFonts w:eastAsia="Times New Roman"/>
                      <w:sz w:val="24"/>
                      <w:szCs w:val="24"/>
                    </w:rPr>
                    <w:t>applications;</w:t>
                  </w:r>
                  <w:proofErr w:type="gramEnd"/>
                  <w:r>
                    <w:rPr>
                      <w:rFonts w:eastAsia="Times New Roman"/>
                      <w:sz w:val="24"/>
                      <w:szCs w:val="24"/>
                    </w:rPr>
                    <w:t xml:space="preserve"> </w:t>
                  </w:r>
                  <w:r>
                    <w:rPr>
                      <w:rFonts w:eastAsia="Times New Roman"/>
                      <w:b/>
                      <w:bCs/>
                      <w:sz w:val="24"/>
                      <w:szCs w:val="24"/>
                    </w:rPr>
                    <w:t>OR</w:t>
                  </w:r>
                </w:p>
                <w:p w14:paraId="12EC659B" w14:textId="77777777" w:rsidR="007254A2" w:rsidRDefault="007254A2" w:rsidP="006A79ED">
                  <w:pPr>
                    <w:pStyle w:val="ListParagraph"/>
                    <w:numPr>
                      <w:ilvl w:val="0"/>
                      <w:numId w:val="1"/>
                    </w:numPr>
                    <w:spacing w:after="160" w:line="252" w:lineRule="auto"/>
                    <w:rPr>
                      <w:rFonts w:eastAsia="Times New Roman"/>
                      <w:sz w:val="24"/>
                      <w:szCs w:val="24"/>
                    </w:rPr>
                  </w:pPr>
                  <w:r>
                    <w:rPr>
                      <w:rFonts w:eastAsia="Times New Roman"/>
                      <w:sz w:val="24"/>
                      <w:szCs w:val="24"/>
                    </w:rPr>
                    <w:t>The development of an innovative creative work/performance.</w:t>
                  </w:r>
                </w:p>
                <w:p w14:paraId="12029B44" w14:textId="77777777" w:rsidR="007254A2" w:rsidRDefault="007254A2">
                  <w:pPr>
                    <w:spacing w:line="252" w:lineRule="auto"/>
                    <w:rPr>
                      <w:sz w:val="24"/>
                      <w:szCs w:val="24"/>
                    </w:rPr>
                  </w:pPr>
                  <w:r>
                    <w:rPr>
                      <w:sz w:val="24"/>
                      <w:szCs w:val="24"/>
                    </w:rPr>
                    <w:t xml:space="preserve">There will be </w:t>
                  </w:r>
                  <w:r>
                    <w:rPr>
                      <w:i/>
                      <w:iCs/>
                      <w:sz w:val="24"/>
                      <w:szCs w:val="24"/>
                    </w:rPr>
                    <w:t>only one</w:t>
                  </w:r>
                  <w:r>
                    <w:rPr>
                      <w:sz w:val="24"/>
                      <w:szCs w:val="24"/>
                    </w:rPr>
                    <w:t xml:space="preserve"> Seed Grant competition in AY 23-24. Projects must be initiated no later than October 1, 2023, and must be completed by August 31, </w:t>
                  </w:r>
                  <w:proofErr w:type="gramStart"/>
                  <w:r>
                    <w:rPr>
                      <w:sz w:val="24"/>
                      <w:szCs w:val="24"/>
                    </w:rPr>
                    <w:t>2024.*</w:t>
                  </w:r>
                  <w:proofErr w:type="gramEnd"/>
                  <w:r>
                    <w:rPr>
                      <w:sz w:val="24"/>
                      <w:szCs w:val="24"/>
                    </w:rPr>
                    <w:t xml:space="preserve"> The total amount of program funding is subject to availability.</w:t>
                  </w:r>
                </w:p>
                <w:p w14:paraId="090B3CC6" w14:textId="77777777" w:rsidR="007254A2" w:rsidRDefault="007254A2">
                  <w:pPr>
                    <w:spacing w:line="252" w:lineRule="auto"/>
                    <w:rPr>
                      <w:sz w:val="24"/>
                      <w:szCs w:val="24"/>
                    </w:rPr>
                  </w:pPr>
                </w:p>
                <w:p w14:paraId="0F272CD5" w14:textId="77777777" w:rsidR="007254A2" w:rsidRDefault="007254A2">
                  <w:pPr>
                    <w:spacing w:line="252" w:lineRule="auto"/>
                    <w:rPr>
                      <w:sz w:val="24"/>
                      <w:szCs w:val="24"/>
                    </w:rPr>
                  </w:pPr>
                  <w:r>
                    <w:rPr>
                      <w:b/>
                      <w:bCs/>
                      <w:i/>
                      <w:iCs/>
                      <w:sz w:val="24"/>
                      <w:szCs w:val="24"/>
                    </w:rPr>
                    <w:t>Applicant Eligibility:</w:t>
                  </w:r>
                  <w:r>
                    <w:rPr>
                      <w:i/>
                      <w:iCs/>
                      <w:sz w:val="24"/>
                      <w:szCs w:val="24"/>
                    </w:rPr>
                    <w:t xml:space="preserve"> </w:t>
                  </w:r>
                  <w:r>
                    <w:rPr>
                      <w:sz w:val="24"/>
                      <w:szCs w:val="24"/>
                    </w:rPr>
                    <w:t xml:space="preserve">Eligible applicants include only tenure-line faculty. Intramural collaborations will be considered. Applicants must not have been awarded any support via the Texas Comprehensive Research Fund (TCRF) after September 1, 2021. </w:t>
                  </w:r>
                </w:p>
                <w:p w14:paraId="6CEFA3FE" w14:textId="77777777" w:rsidR="007254A2" w:rsidRDefault="007254A2">
                  <w:pPr>
                    <w:spacing w:line="252" w:lineRule="auto"/>
                    <w:rPr>
                      <w:sz w:val="24"/>
                      <w:szCs w:val="24"/>
                    </w:rPr>
                  </w:pPr>
                </w:p>
                <w:p w14:paraId="40734574" w14:textId="77777777" w:rsidR="007254A2" w:rsidRDefault="007254A2">
                  <w:pPr>
                    <w:spacing w:line="252" w:lineRule="auto"/>
                    <w:rPr>
                      <w:sz w:val="24"/>
                      <w:szCs w:val="24"/>
                    </w:rPr>
                  </w:pPr>
                  <w:r>
                    <w:rPr>
                      <w:b/>
                      <w:bCs/>
                      <w:i/>
                      <w:iCs/>
                      <w:sz w:val="24"/>
                      <w:szCs w:val="24"/>
                    </w:rPr>
                    <w:t>Evaluation Criteria:</w:t>
                  </w:r>
                  <w:r>
                    <w:rPr>
                      <w:b/>
                      <w:bCs/>
                      <w:sz w:val="24"/>
                      <w:szCs w:val="24"/>
                    </w:rPr>
                    <w:t xml:space="preserve"> </w:t>
                  </w:r>
                  <w:r>
                    <w:rPr>
                      <w:sz w:val="24"/>
                      <w:szCs w:val="24"/>
                    </w:rPr>
                    <w:t xml:space="preserve">Proposals must exhibit strong potential for leveraging extramural funding. PIs/PDs must commit to submitting </w:t>
                  </w:r>
                  <w:r>
                    <w:rPr>
                      <w:b/>
                      <w:bCs/>
                      <w:sz w:val="24"/>
                      <w:szCs w:val="24"/>
                    </w:rPr>
                    <w:t xml:space="preserve">either </w:t>
                  </w:r>
                  <w:r>
                    <w:rPr>
                      <w:sz w:val="24"/>
                      <w:szCs w:val="24"/>
                    </w:rPr>
                    <w:t xml:space="preserve">an external proposal based on the pilot project, </w:t>
                  </w:r>
                  <w:r>
                    <w:rPr>
                      <w:b/>
                      <w:bCs/>
                      <w:sz w:val="24"/>
                      <w:szCs w:val="24"/>
                    </w:rPr>
                    <w:t xml:space="preserve">or </w:t>
                  </w:r>
                  <w:r>
                    <w:rPr>
                      <w:sz w:val="24"/>
                      <w:szCs w:val="24"/>
                    </w:rPr>
                    <w:t>a creative project/performance with a firm date of delivery. Applicants will be required to document their outcomes in their final reports. Additionally, all applicants agree to serve as peer reviewers for applications in one 2023 – 2024 intramural competition, if asked by the Office of Research Development (ORD).</w:t>
                  </w:r>
                </w:p>
                <w:p w14:paraId="213C487C" w14:textId="77777777" w:rsidR="007254A2" w:rsidRDefault="007254A2">
                  <w:pPr>
                    <w:spacing w:line="252" w:lineRule="auto"/>
                    <w:rPr>
                      <w:sz w:val="24"/>
                      <w:szCs w:val="24"/>
                    </w:rPr>
                  </w:pPr>
                </w:p>
                <w:p w14:paraId="20B5929E" w14:textId="77777777" w:rsidR="007254A2" w:rsidRDefault="007254A2">
                  <w:pPr>
                    <w:spacing w:line="252" w:lineRule="auto"/>
                    <w:rPr>
                      <w:sz w:val="24"/>
                      <w:szCs w:val="24"/>
                    </w:rPr>
                  </w:pPr>
                  <w:r>
                    <w:rPr>
                      <w:sz w:val="24"/>
                      <w:szCs w:val="24"/>
                    </w:rPr>
                    <w:t xml:space="preserve">All applicants must demonstrate that the proposed project represents an innovative research/creative direction. Research that is already supported by other sources is not eligible for Seed Grant funding. Proposals pending, or previously reviewed and declined by, an extramural agency will not be considered. However, proposals for creative activities may use Seed Grant funds to leverage existing/pending public or private external support. </w:t>
                  </w:r>
                </w:p>
                <w:p w14:paraId="70C67B81" w14:textId="77777777" w:rsidR="007254A2" w:rsidRDefault="007254A2">
                  <w:pPr>
                    <w:spacing w:line="252" w:lineRule="auto"/>
                    <w:rPr>
                      <w:sz w:val="24"/>
                      <w:szCs w:val="24"/>
                    </w:rPr>
                  </w:pPr>
                </w:p>
                <w:p w14:paraId="097D0857" w14:textId="77777777" w:rsidR="007254A2" w:rsidRDefault="007254A2">
                  <w:pPr>
                    <w:spacing w:line="252" w:lineRule="auto"/>
                    <w:rPr>
                      <w:sz w:val="24"/>
                      <w:szCs w:val="24"/>
                    </w:rPr>
                  </w:pPr>
                  <w:r>
                    <w:rPr>
                      <w:b/>
                      <w:bCs/>
                      <w:i/>
                      <w:iCs/>
                      <w:sz w:val="24"/>
                      <w:szCs w:val="24"/>
                    </w:rPr>
                    <w:lastRenderedPageBreak/>
                    <w:t>Unallowable Costs:</w:t>
                  </w:r>
                  <w:r>
                    <w:rPr>
                      <w:sz w:val="24"/>
                      <w:szCs w:val="24"/>
                    </w:rPr>
                    <w:t xml:space="preserve"> Seed Grant funds cannot be used for travel, memberships, or consultants, </w:t>
                  </w:r>
                  <w:proofErr w:type="gramStart"/>
                  <w:r>
                    <w:rPr>
                      <w:sz w:val="24"/>
                      <w:szCs w:val="24"/>
                    </w:rPr>
                    <w:t>with the exception of</w:t>
                  </w:r>
                  <w:proofErr w:type="gramEnd"/>
                  <w:r>
                    <w:rPr>
                      <w:sz w:val="24"/>
                      <w:szCs w:val="24"/>
                    </w:rPr>
                    <w:t xml:space="preserve"> customary costs for developing and delivering creative projects, assuming adequate justification is provided.  </w:t>
                  </w:r>
                </w:p>
                <w:p w14:paraId="1CB5AA7B" w14:textId="77777777" w:rsidR="007254A2" w:rsidRDefault="007254A2">
                  <w:pPr>
                    <w:spacing w:line="252" w:lineRule="auto"/>
                    <w:rPr>
                      <w:sz w:val="24"/>
                      <w:szCs w:val="24"/>
                    </w:rPr>
                  </w:pPr>
                </w:p>
                <w:p w14:paraId="0059DEFE" w14:textId="77777777" w:rsidR="007254A2" w:rsidRDefault="007254A2">
                  <w:pPr>
                    <w:spacing w:line="252" w:lineRule="auto"/>
                    <w:rPr>
                      <w:sz w:val="24"/>
                      <w:szCs w:val="24"/>
                    </w:rPr>
                  </w:pPr>
                  <w:r>
                    <w:rPr>
                      <w:b/>
                      <w:bCs/>
                      <w:i/>
                      <w:iCs/>
                      <w:sz w:val="24"/>
                      <w:szCs w:val="24"/>
                    </w:rPr>
                    <w:t>Note:</w:t>
                  </w:r>
                  <w:r>
                    <w:rPr>
                      <w:i/>
                      <w:iCs/>
                      <w:sz w:val="24"/>
                      <w:szCs w:val="24"/>
                    </w:rPr>
                    <w:t xml:space="preserve"> </w:t>
                  </w:r>
                  <w:r>
                    <w:rPr>
                      <w:sz w:val="24"/>
                      <w:szCs w:val="24"/>
                    </w:rPr>
                    <w:t>All funded PIs/PDs must agree to meet bimonthly with ORD staff for activity and financial progress reports. Additionally, a final report will be due to ORD within 60 days of the project end date. PIs/PDs with outstanding final reports are not eligible for additional funding from the Division of Research and Innovation.</w:t>
                  </w:r>
                </w:p>
                <w:p w14:paraId="12CC737E" w14:textId="77777777" w:rsidR="007254A2" w:rsidRDefault="007254A2">
                  <w:pPr>
                    <w:spacing w:line="252" w:lineRule="auto"/>
                    <w:rPr>
                      <w:sz w:val="24"/>
                      <w:szCs w:val="24"/>
                    </w:rPr>
                  </w:pPr>
                </w:p>
                <w:p w14:paraId="48776B9C" w14:textId="77777777" w:rsidR="007254A2" w:rsidRDefault="007254A2">
                  <w:pPr>
                    <w:spacing w:line="252" w:lineRule="auto"/>
                    <w:rPr>
                      <w:sz w:val="24"/>
                      <w:szCs w:val="24"/>
                    </w:rPr>
                  </w:pPr>
                  <w:r>
                    <w:rPr>
                      <w:b/>
                      <w:bCs/>
                      <w:i/>
                      <w:iCs/>
                      <w:sz w:val="24"/>
                      <w:szCs w:val="24"/>
                    </w:rPr>
                    <w:t>Application:</w:t>
                  </w:r>
                  <w:r>
                    <w:rPr>
                      <w:sz w:val="24"/>
                      <w:szCs w:val="24"/>
                    </w:rPr>
                    <w:t xml:space="preserve"> Please see attached application form. </w:t>
                  </w:r>
                </w:p>
                <w:p w14:paraId="286828C8" w14:textId="77777777" w:rsidR="007254A2" w:rsidRDefault="007254A2">
                  <w:pPr>
                    <w:spacing w:line="252" w:lineRule="auto"/>
                    <w:rPr>
                      <w:sz w:val="24"/>
                      <w:szCs w:val="24"/>
                    </w:rPr>
                  </w:pPr>
                </w:p>
                <w:p w14:paraId="3EF135EE" w14:textId="77777777" w:rsidR="007254A2" w:rsidRDefault="007254A2">
                  <w:pPr>
                    <w:spacing w:line="252" w:lineRule="auto"/>
                    <w:rPr>
                      <w:sz w:val="24"/>
                      <w:szCs w:val="24"/>
                    </w:rPr>
                  </w:pPr>
                  <w:r>
                    <w:rPr>
                      <w:sz w:val="24"/>
                      <w:szCs w:val="24"/>
                    </w:rPr>
                    <w:t>* Requests with project periods beyond August 31, 2024, must be discussed prior to submission with Garth Clayton (contact information below).</w:t>
                  </w:r>
                </w:p>
                <w:p w14:paraId="46AECAEB" w14:textId="77777777" w:rsidR="007254A2" w:rsidRDefault="007254A2">
                  <w:pPr>
                    <w:spacing w:line="252" w:lineRule="auto"/>
                    <w:rPr>
                      <w:sz w:val="24"/>
                      <w:szCs w:val="24"/>
                    </w:rPr>
                  </w:pPr>
                </w:p>
                <w:p w14:paraId="3AAB82F2" w14:textId="77777777" w:rsidR="007254A2" w:rsidRDefault="007254A2">
                  <w:pPr>
                    <w:spacing w:line="252" w:lineRule="auto"/>
                    <w:jc w:val="center"/>
                    <w:rPr>
                      <w:sz w:val="20"/>
                      <w:szCs w:val="20"/>
                    </w:rPr>
                  </w:pPr>
                  <w:r>
                    <w:rPr>
                      <w:sz w:val="20"/>
                      <w:szCs w:val="20"/>
                    </w:rPr>
                    <w:t xml:space="preserve">Questions may be directed to Garth Clayton, PhD, at </w:t>
                  </w:r>
                  <w:hyperlink r:id="rId8" w:history="1">
                    <w:r>
                      <w:rPr>
                        <w:rStyle w:val="Hyperlink"/>
                        <w:sz w:val="20"/>
                        <w:szCs w:val="20"/>
                      </w:rPr>
                      <w:t>garth.clayton@tamucc.edu</w:t>
                    </w:r>
                  </w:hyperlink>
                  <w:r>
                    <w:rPr>
                      <w:sz w:val="20"/>
                      <w:szCs w:val="20"/>
                    </w:rPr>
                    <w:t xml:space="preserve"> </w:t>
                  </w:r>
                </w:p>
                <w:p w14:paraId="60CB5521" w14:textId="77777777" w:rsidR="007254A2" w:rsidRDefault="007254A2">
                  <w:pPr>
                    <w:spacing w:line="252" w:lineRule="auto"/>
                    <w:rPr>
                      <w:rFonts w:ascii="Garamond" w:hAnsi="Garamond"/>
                    </w:rPr>
                  </w:pPr>
                </w:p>
              </w:tc>
            </w:tr>
            <w:tr w:rsidR="007254A2" w14:paraId="0358C36D" w14:textId="77777777">
              <w:trPr>
                <w:trHeight w:val="300"/>
                <w:tblCellSpacing w:w="12" w:type="dxa"/>
              </w:trPr>
              <w:tc>
                <w:tcPr>
                  <w:tcW w:w="8716" w:type="dxa"/>
                  <w:tcMar>
                    <w:top w:w="15" w:type="dxa"/>
                    <w:left w:w="15" w:type="dxa"/>
                    <w:bottom w:w="15" w:type="dxa"/>
                    <w:right w:w="15" w:type="dxa"/>
                  </w:tcMar>
                  <w:vAlign w:val="center"/>
                  <w:hideMark/>
                </w:tcPr>
                <w:p w14:paraId="1FA4763D" w14:textId="77777777" w:rsidR="007254A2" w:rsidRDefault="007254A2">
                  <w:pPr>
                    <w:spacing w:line="252" w:lineRule="auto"/>
                    <w:ind w:firstLine="525"/>
                  </w:pPr>
                  <w:r>
                    <w:rPr>
                      <w:rFonts w:ascii="Tahoma" w:hAnsi="Tahoma" w:cs="Tahoma"/>
                      <w:color w:val="A2A4A3"/>
                      <w:sz w:val="17"/>
                      <w:szCs w:val="17"/>
                    </w:rPr>
                    <w:lastRenderedPageBreak/>
                    <w:t>© Texas A&amp;M University-Corpus Christi • 6300 Ocean Drive, Corpus Christi, Texas 78412 • 361.825.5700</w:t>
                  </w:r>
                </w:p>
              </w:tc>
            </w:tr>
          </w:tbl>
          <w:p w14:paraId="7F4DE816" w14:textId="77777777" w:rsidR="007254A2" w:rsidRDefault="007254A2">
            <w:pPr>
              <w:rPr>
                <w:rFonts w:ascii="Times New Roman" w:eastAsia="Times New Roman" w:hAnsi="Times New Roman" w:cs="Times New Roman"/>
                <w:sz w:val="20"/>
                <w:szCs w:val="20"/>
              </w:rPr>
            </w:pPr>
          </w:p>
        </w:tc>
        <w:tc>
          <w:tcPr>
            <w:tcW w:w="360" w:type="dxa"/>
            <w:tcMar>
              <w:top w:w="150" w:type="dxa"/>
              <w:left w:w="0" w:type="dxa"/>
              <w:bottom w:w="0" w:type="dxa"/>
              <w:right w:w="0" w:type="dxa"/>
            </w:tcMar>
            <w:vAlign w:val="center"/>
            <w:hideMark/>
          </w:tcPr>
          <w:p w14:paraId="6ACD9CBC" w14:textId="77777777" w:rsidR="007254A2" w:rsidRDefault="007254A2">
            <w:pPr>
              <w:spacing w:line="252" w:lineRule="auto"/>
            </w:pPr>
            <w:r>
              <w:rPr>
                <w:sz w:val="24"/>
                <w:szCs w:val="24"/>
              </w:rPr>
              <w:lastRenderedPageBreak/>
              <w:t> </w:t>
            </w:r>
          </w:p>
        </w:tc>
      </w:tr>
    </w:tbl>
    <w:p w14:paraId="619199D6" w14:textId="77777777" w:rsidR="005B417B" w:rsidRDefault="005B417B"/>
    <w:sectPr w:rsidR="005B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F1641"/>
    <w:multiLevelType w:val="hybridMultilevel"/>
    <w:tmpl w:val="C7A81EB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num w:numId="1" w16cid:durableId="162164436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C9"/>
    <w:rsid w:val="004E1303"/>
    <w:rsid w:val="005B417B"/>
    <w:rsid w:val="007254A2"/>
    <w:rsid w:val="00751D27"/>
    <w:rsid w:val="00C766C9"/>
    <w:rsid w:val="00F1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9117"/>
  <w15:chartTrackingRefBased/>
  <w15:docId w15:val="{065331D0-01E7-45B9-A49F-A3BB7F7B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A2"/>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54A2"/>
    <w:rPr>
      <w:color w:val="0563C1"/>
      <w:u w:val="single"/>
    </w:rPr>
  </w:style>
  <w:style w:type="paragraph" w:styleId="ListParagraph">
    <w:name w:val="List Paragraph"/>
    <w:basedOn w:val="Normal"/>
    <w:uiPriority w:val="34"/>
    <w:qFormat/>
    <w:rsid w:val="0072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6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th.clayton@tamucc.edu" TargetMode="External"/><Relationship Id="rId3" Type="http://schemas.openxmlformats.org/officeDocument/2006/relationships/settings" Target="settings.xml"/><Relationship Id="rId7" Type="http://schemas.openxmlformats.org/officeDocument/2006/relationships/image" Target="cid:image001.png@01D9C087.7B9DD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12.safelinks.protection.outlook.com/?url=http%3A%2F%2Fresearch.tamucc.edu%2F&amp;data=05%7C01%7Cchris.bird%40tamucc.edu%7Cf948f910527d467eb2c608db8ec89ce3%7C34cbfaf167a64781a9ca514eb2550b66%7C0%7C0%7C638260764534355166%7CUnknown%7CTWFpbGZsb3d8eyJWIjoiMC4wLjAwMDAiLCJQIjoiV2luMzIiLCJBTiI6Ik1haWwiLCJXVCI6Mn0%3D%7C3000%7C%7C%7C&amp;sdata=hTXpKpJpgdHi80ORjtktLYyNjbe6%2BgB6vIqCrqUvvw4%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Chris</dc:creator>
  <cp:keywords/>
  <dc:description/>
  <cp:lastModifiedBy>Bird, Chris</cp:lastModifiedBy>
  <cp:revision>2</cp:revision>
  <dcterms:created xsi:type="dcterms:W3CDTF">2023-08-23T18:39:00Z</dcterms:created>
  <dcterms:modified xsi:type="dcterms:W3CDTF">2023-08-23T18:40:00Z</dcterms:modified>
</cp:coreProperties>
</file>