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0B" w:rsidRPr="00261CED" w:rsidRDefault="00261CED" w:rsidP="00261CED">
      <w:pPr>
        <w:jc w:val="center"/>
        <w:rPr>
          <w:rFonts w:ascii="Times New Roman" w:hAnsi="Times New Roman" w:cs="Times New Roman"/>
          <w:i/>
          <w:sz w:val="24"/>
          <w:szCs w:val="24"/>
        </w:rPr>
      </w:pPr>
      <w:r w:rsidRPr="00261CED">
        <w:rPr>
          <w:rFonts w:ascii="Times New Roman" w:hAnsi="Times New Roman" w:cs="Times New Roman"/>
          <w:i/>
          <w:sz w:val="24"/>
          <w:szCs w:val="24"/>
        </w:rPr>
        <w:t>Beyond performance: how do students in urban schools perceive science issues?</w:t>
      </w:r>
    </w:p>
    <w:p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her levels than other students. Often these schools benefit from improved educational resources and greater autonomy in the allocation of these resources (OECD 2013).</w:t>
      </w:r>
    </w:p>
    <w:p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performance in urban versus non-urban schools across all countries over four separate PISA cycles (2006, 2009, 2012, and 2015).</w:t>
      </w:r>
    </w:p>
    <w:p w:rsidR="007A6B84" w:rsidRDefault="007A6B84">
      <w:pPr>
        <w:rPr>
          <w:rFonts w:ascii="Times New Roman" w:hAnsi="Times New Roman" w:cs="Times New Roman"/>
          <w:sz w:val="24"/>
          <w:szCs w:val="24"/>
        </w:rPr>
      </w:pPr>
      <w:r>
        <w:rPr>
          <w:rFonts w:ascii="Times New Roman" w:hAnsi="Times New Roman" w:cs="Times New Roman"/>
          <w:sz w:val="24"/>
          <w:szCs w:val="24"/>
        </w:rPr>
        <w:t>Because the focus for the 2015 PISA cycle is the assessment of science, this analysis also examines three key topics: (1) students’ awareness of environmental issues, (2) students’ optimism about environmental issues, and (3) students’ beliefs about scientific epistemology across urban and non-urban schools.</w:t>
      </w:r>
    </w:p>
    <w:p w:rsidR="003F1F0E" w:rsidRPr="003F1F0E" w:rsidRDefault="00EA0587">
      <w:pPr>
        <w:rPr>
          <w:rFonts w:ascii="Times New Roman" w:hAnsi="Times New Roman" w:cs="Times New Roman"/>
          <w:sz w:val="24"/>
          <w:szCs w:val="24"/>
        </w:rPr>
      </w:pPr>
      <w:r>
        <w:rPr>
          <w:rFonts w:ascii="Times New Roman" w:hAnsi="Times New Roman" w:cs="Times New Roman"/>
          <w:sz w:val="24"/>
          <w:szCs w:val="24"/>
        </w:rPr>
        <w:t>Little</w:t>
      </w:r>
      <w:r w:rsidR="003F1F0E">
        <w:rPr>
          <w:rFonts w:ascii="Times New Roman" w:hAnsi="Times New Roman" w:cs="Times New Roman"/>
          <w:sz w:val="24"/>
          <w:szCs w:val="24"/>
        </w:rPr>
        <w:t xml:space="preserve"> research has gone beyond the performance levels of students in urban schools</w:t>
      </w:r>
      <w:r>
        <w:rPr>
          <w:rFonts w:ascii="Times New Roman" w:hAnsi="Times New Roman" w:cs="Times New Roman"/>
          <w:sz w:val="24"/>
          <w:szCs w:val="24"/>
        </w:rPr>
        <w:t>, and the research that does mostly focuses on the resources that urban schools have access to. Understanding how variables that are connected to students’ perception and beliefs about science and science issues will provide insight into how to improve the overall learning environment.</w:t>
      </w:r>
    </w:p>
    <w:p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(introduced in the 2006 cycle of PISA),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p>
    <w:p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rsidR="00CE04CC" w:rsidRDefault="00CE04CC">
      <w:pPr>
        <w:rPr>
          <w:rFonts w:ascii="Times New Roman" w:hAnsi="Times New Roman" w:cs="Times New Roman"/>
          <w:sz w:val="24"/>
          <w:szCs w:val="24"/>
        </w:rPr>
      </w:pPr>
      <w:r>
        <w:rPr>
          <w:rFonts w:ascii="Times New Roman" w:hAnsi="Times New Roman" w:cs="Times New Roman"/>
          <w:sz w:val="24"/>
          <w:szCs w:val="24"/>
        </w:rPr>
        <w:lastRenderedPageBreak/>
        <w:t xml:space="preserve">Beliefs about scientific epistemology are collected by students’ responses on a four-point Likert scale to </w:t>
      </w:r>
      <w:r w:rsidR="00261CED">
        <w:rPr>
          <w:rFonts w:ascii="Times New Roman" w:hAnsi="Times New Roman" w:cs="Times New Roman"/>
          <w:sz w:val="24"/>
          <w:szCs w:val="24"/>
        </w:rPr>
        <w:t xml:space="preserve">the </w:t>
      </w:r>
      <w:r>
        <w:rPr>
          <w:rFonts w:ascii="Times New Roman" w:hAnsi="Times New Roman" w:cs="Times New Roman"/>
          <w:sz w:val="24"/>
          <w:szCs w:val="24"/>
        </w:rPr>
        <w:t>six statements</w:t>
      </w:r>
      <w:r w:rsidR="00261CED">
        <w:rPr>
          <w:rFonts w:ascii="Times New Roman" w:hAnsi="Times New Roman" w:cs="Times New Roman"/>
          <w:sz w:val="24"/>
          <w:szCs w:val="24"/>
        </w:rPr>
        <w:t xml:space="preserve"> found in Table 4. </w:t>
      </w:r>
      <w:r>
        <w:rPr>
          <w:rFonts w:ascii="Times New Roman" w:hAnsi="Times New Roman" w:cs="Times New Roman"/>
          <w:bCs/>
          <w:sz w:val="24"/>
          <w:szCs w:val="24"/>
        </w:rPr>
        <w:t>The Likert scale is converted into a two-point scale for the binary analyses.</w:t>
      </w:r>
    </w:p>
    <w:p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Linear, logit, and probit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rsidR="00CE04CC" w:rsidRDefault="00C81D94">
      <w:pPr>
        <w:rPr>
          <w:rFonts w:ascii="Times New Roman" w:hAnsi="Times New Roman" w:cs="Times New Roman"/>
          <w:b/>
          <w:sz w:val="24"/>
          <w:szCs w:val="24"/>
        </w:rPr>
      </w:pPr>
      <w:r>
        <w:rPr>
          <w:rFonts w:ascii="Times New Roman" w:hAnsi="Times New Roman" w:cs="Times New Roman"/>
          <w:b/>
          <w:sz w:val="24"/>
          <w:szCs w:val="24"/>
        </w:rPr>
        <w:t>Preliminary R</w:t>
      </w:r>
      <w:r w:rsidR="00CE04CC">
        <w:rPr>
          <w:rFonts w:ascii="Times New Roman" w:hAnsi="Times New Roman" w:cs="Times New Roman"/>
          <w:b/>
          <w:sz w:val="24"/>
          <w:szCs w:val="24"/>
        </w:rPr>
        <w:t>esults</w:t>
      </w:r>
    </w:p>
    <w:p w:rsidR="000D1610" w:rsidRDefault="000D1610">
      <w:pPr>
        <w:rPr>
          <w:rFonts w:ascii="Times New Roman" w:hAnsi="Times New Roman" w:cs="Times New Roman"/>
          <w:sz w:val="24"/>
          <w:szCs w:val="24"/>
        </w:rPr>
      </w:pPr>
      <w:r>
        <w:rPr>
          <w:rFonts w:ascii="Times New Roman" w:hAnsi="Times New Roman" w:cs="Times New Roman"/>
          <w:sz w:val="24"/>
          <w:szCs w:val="24"/>
        </w:rPr>
        <w:t>Table 1.</w:t>
      </w:r>
      <w:r w:rsidR="00676581">
        <w:rPr>
          <w:rFonts w:ascii="Times New Roman" w:hAnsi="Times New Roman" w:cs="Times New Roman"/>
          <w:sz w:val="24"/>
          <w:szCs w:val="24"/>
        </w:rPr>
        <w:t xml:space="preserve"> Number of jurisdictions in which students in urban schools perform better or worse than students in non-urban schools</w:t>
      </w:r>
      <w:r w:rsidR="00CA7FC2">
        <w:rPr>
          <w:rFonts w:ascii="Times New Roman" w:hAnsi="Times New Roman" w:cs="Times New Roman"/>
          <w:sz w:val="24"/>
          <w:szCs w:val="24"/>
        </w:rPr>
        <w:t>, PISA 2015, science</w:t>
      </w:r>
    </w:p>
    <w:tbl>
      <w:tblPr>
        <w:tblStyle w:val="TableGrid"/>
        <w:tblW w:w="5000" w:type="pct"/>
        <w:tblLook w:val="04A0" w:firstRow="1" w:lastRow="0" w:firstColumn="1" w:lastColumn="0" w:noHBand="0" w:noVBand="1"/>
      </w:tblPr>
      <w:tblGrid>
        <w:gridCol w:w="2211"/>
        <w:gridCol w:w="2309"/>
        <w:gridCol w:w="2309"/>
        <w:gridCol w:w="2521"/>
      </w:tblGrid>
      <w:tr w:rsidR="00D67558" w:rsidRPr="00D67558" w:rsidTr="00D67558">
        <w:trPr>
          <w:trHeight w:val="332"/>
        </w:trPr>
        <w:tc>
          <w:tcPr>
            <w:tcW w:w="1182"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 </w:t>
            </w:r>
          </w:p>
        </w:tc>
        <w:tc>
          <w:tcPr>
            <w:tcW w:w="1235"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Urban students better</w:t>
            </w:r>
          </w:p>
        </w:tc>
        <w:tc>
          <w:tcPr>
            <w:tcW w:w="1235"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Urban students worse</w:t>
            </w:r>
          </w:p>
        </w:tc>
        <w:tc>
          <w:tcPr>
            <w:tcW w:w="1349"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Total countries</w:t>
            </w:r>
          </w:p>
        </w:tc>
      </w:tr>
      <w:tr w:rsidR="00D67558" w:rsidRPr="00D67558" w:rsidTr="00D67558">
        <w:trPr>
          <w:trHeight w:val="330"/>
        </w:trPr>
        <w:tc>
          <w:tcPr>
            <w:tcW w:w="1182"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2006</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33</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w:t>
            </w:r>
          </w:p>
        </w:tc>
        <w:tc>
          <w:tcPr>
            <w:tcW w:w="134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53</w:t>
            </w:r>
          </w:p>
        </w:tc>
      </w:tr>
      <w:tr w:rsidR="00D67558" w:rsidRPr="00D67558" w:rsidTr="00D67558">
        <w:trPr>
          <w:trHeight w:val="330"/>
        </w:trPr>
        <w:tc>
          <w:tcPr>
            <w:tcW w:w="1182"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2009</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43</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w:t>
            </w:r>
          </w:p>
        </w:tc>
        <w:tc>
          <w:tcPr>
            <w:tcW w:w="134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64</w:t>
            </w:r>
          </w:p>
        </w:tc>
      </w:tr>
      <w:tr w:rsidR="00D67558" w:rsidRPr="00D67558" w:rsidTr="00D67558">
        <w:trPr>
          <w:trHeight w:val="330"/>
        </w:trPr>
        <w:tc>
          <w:tcPr>
            <w:tcW w:w="1182"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2012</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36</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0</w:t>
            </w:r>
          </w:p>
        </w:tc>
        <w:tc>
          <w:tcPr>
            <w:tcW w:w="134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58</w:t>
            </w:r>
          </w:p>
        </w:tc>
      </w:tr>
      <w:tr w:rsidR="00D67558" w:rsidRPr="00D67558" w:rsidTr="00D67558">
        <w:trPr>
          <w:trHeight w:val="330"/>
        </w:trPr>
        <w:tc>
          <w:tcPr>
            <w:tcW w:w="1182"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2015</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49</w:t>
            </w:r>
          </w:p>
        </w:tc>
        <w:tc>
          <w:tcPr>
            <w:tcW w:w="1235"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w:t>
            </w:r>
          </w:p>
        </w:tc>
        <w:tc>
          <w:tcPr>
            <w:tcW w:w="134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63</w:t>
            </w:r>
          </w:p>
        </w:tc>
      </w:tr>
    </w:tbl>
    <w:p w:rsidR="00D67558" w:rsidRDefault="00D67558">
      <w:pPr>
        <w:rPr>
          <w:rFonts w:ascii="Times New Roman" w:hAnsi="Times New Roman" w:cs="Times New Roman"/>
          <w:sz w:val="24"/>
          <w:szCs w:val="24"/>
        </w:rPr>
      </w:pPr>
    </w:p>
    <w:p w:rsidR="000D1610" w:rsidRDefault="000D1610">
      <w:pPr>
        <w:rPr>
          <w:rFonts w:ascii="Times New Roman" w:hAnsi="Times New Roman" w:cs="Times New Roman"/>
          <w:sz w:val="24"/>
          <w:szCs w:val="24"/>
        </w:rPr>
      </w:pPr>
      <w:r>
        <w:rPr>
          <w:rFonts w:ascii="Times New Roman" w:hAnsi="Times New Roman" w:cs="Times New Roman"/>
          <w:sz w:val="24"/>
          <w:szCs w:val="24"/>
        </w:rPr>
        <w:t xml:space="preserve">Table 2. </w:t>
      </w:r>
      <w:r w:rsidR="00CA7FC2">
        <w:rPr>
          <w:rFonts w:ascii="Times New Roman" w:hAnsi="Times New Roman" w:cs="Times New Roman"/>
          <w:sz w:val="24"/>
          <w:szCs w:val="24"/>
        </w:rPr>
        <w:t xml:space="preserve">Number of jurisdictions in which students in urban schools </w:t>
      </w:r>
      <w:r w:rsidR="00CA7FC2">
        <w:rPr>
          <w:rFonts w:ascii="Times New Roman" w:hAnsi="Times New Roman" w:cs="Times New Roman"/>
          <w:sz w:val="24"/>
          <w:szCs w:val="24"/>
        </w:rPr>
        <w:t>are more or less familiar with environmental issues</w:t>
      </w:r>
      <w:r w:rsidR="00CA7FC2">
        <w:rPr>
          <w:rFonts w:ascii="Times New Roman" w:hAnsi="Times New Roman" w:cs="Times New Roman"/>
          <w:sz w:val="24"/>
          <w:szCs w:val="24"/>
        </w:rPr>
        <w:t xml:space="preserve"> than students in non-urban schools, PISA 2015</w:t>
      </w:r>
    </w:p>
    <w:tbl>
      <w:tblPr>
        <w:tblStyle w:val="TableGrid"/>
        <w:tblW w:w="5000" w:type="pct"/>
        <w:tblLook w:val="04A0" w:firstRow="1" w:lastRow="0" w:firstColumn="1" w:lastColumn="0" w:noHBand="0" w:noVBand="1"/>
      </w:tblPr>
      <w:tblGrid>
        <w:gridCol w:w="2122"/>
        <w:gridCol w:w="3696"/>
        <w:gridCol w:w="3532"/>
      </w:tblGrid>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 </w:t>
            </w:r>
          </w:p>
        </w:tc>
        <w:tc>
          <w:tcPr>
            <w:tcW w:w="1976"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Urban students more familiar</w:t>
            </w:r>
          </w:p>
        </w:tc>
        <w:tc>
          <w:tcPr>
            <w:tcW w:w="1889"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Urban students less familiar</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Air pollution</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34</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Deforestation</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31</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5</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Extinction</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29</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1</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GMOs</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23</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Greenhouse gas</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31</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3</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Nuclear waste</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13</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w:t>
            </w:r>
          </w:p>
        </w:tc>
      </w:tr>
      <w:tr w:rsidR="00D67558" w:rsidRPr="00D67558" w:rsidTr="00D67558">
        <w:trPr>
          <w:trHeight w:val="20"/>
        </w:trPr>
        <w:tc>
          <w:tcPr>
            <w:tcW w:w="1134" w:type="pct"/>
            <w:hideMark/>
          </w:tcPr>
          <w:p w:rsidR="00D67558" w:rsidRPr="00D67558" w:rsidRDefault="00D67558">
            <w:pPr>
              <w:rPr>
                <w:rFonts w:ascii="Times New Roman" w:hAnsi="Times New Roman" w:cs="Times New Roman"/>
                <w:sz w:val="24"/>
                <w:szCs w:val="24"/>
              </w:rPr>
            </w:pPr>
            <w:r w:rsidRPr="00D67558">
              <w:rPr>
                <w:rFonts w:ascii="Times New Roman" w:hAnsi="Times New Roman" w:cs="Times New Roman"/>
                <w:sz w:val="24"/>
                <w:szCs w:val="24"/>
              </w:rPr>
              <w:t>Water shortage</w:t>
            </w:r>
          </w:p>
        </w:tc>
        <w:tc>
          <w:tcPr>
            <w:tcW w:w="1976"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24</w:t>
            </w:r>
          </w:p>
        </w:tc>
        <w:tc>
          <w:tcPr>
            <w:tcW w:w="1889" w:type="pct"/>
            <w:hideMark/>
          </w:tcPr>
          <w:p w:rsidR="00D67558" w:rsidRPr="00D67558" w:rsidRDefault="00D67558" w:rsidP="00D67558">
            <w:pPr>
              <w:rPr>
                <w:rFonts w:ascii="Times New Roman" w:hAnsi="Times New Roman" w:cs="Times New Roman"/>
                <w:sz w:val="24"/>
                <w:szCs w:val="24"/>
              </w:rPr>
            </w:pPr>
            <w:r w:rsidRPr="00D67558">
              <w:rPr>
                <w:rFonts w:ascii="Times New Roman" w:hAnsi="Times New Roman" w:cs="Times New Roman"/>
                <w:sz w:val="24"/>
                <w:szCs w:val="24"/>
              </w:rPr>
              <w:t>1</w:t>
            </w:r>
          </w:p>
        </w:tc>
      </w:tr>
    </w:tbl>
    <w:p w:rsidR="00D67558" w:rsidRDefault="00D67558">
      <w:pPr>
        <w:rPr>
          <w:rFonts w:ascii="Times New Roman" w:hAnsi="Times New Roman" w:cs="Times New Roman"/>
          <w:sz w:val="24"/>
          <w:szCs w:val="24"/>
        </w:rPr>
      </w:pPr>
    </w:p>
    <w:p w:rsidR="00D67558" w:rsidRDefault="0027753D">
      <w:pPr>
        <w:rPr>
          <w:rFonts w:ascii="Times New Roman" w:hAnsi="Times New Roman" w:cs="Times New Roman"/>
          <w:sz w:val="24"/>
          <w:szCs w:val="24"/>
        </w:rPr>
      </w:pPr>
      <w:r>
        <w:rPr>
          <w:rFonts w:ascii="Times New Roman" w:hAnsi="Times New Roman" w:cs="Times New Roman"/>
          <w:sz w:val="24"/>
          <w:szCs w:val="24"/>
        </w:rPr>
        <w:t>Table 3.</w:t>
      </w:r>
      <w:r w:rsidR="00CA7FC2" w:rsidRPr="00CA7FC2">
        <w:rPr>
          <w:rFonts w:ascii="Times New Roman" w:hAnsi="Times New Roman" w:cs="Times New Roman"/>
          <w:sz w:val="24"/>
          <w:szCs w:val="24"/>
        </w:rPr>
        <w:t xml:space="preserve"> </w:t>
      </w:r>
      <w:r w:rsidR="00CA7FC2">
        <w:rPr>
          <w:rFonts w:ascii="Times New Roman" w:hAnsi="Times New Roman" w:cs="Times New Roman"/>
          <w:sz w:val="24"/>
          <w:szCs w:val="24"/>
        </w:rPr>
        <w:t xml:space="preserve">Number of jurisdictions in which students in urban schools are more or </w:t>
      </w:r>
      <w:r w:rsidR="00CA7FC2">
        <w:rPr>
          <w:rFonts w:ascii="Times New Roman" w:hAnsi="Times New Roman" w:cs="Times New Roman"/>
          <w:sz w:val="24"/>
          <w:szCs w:val="24"/>
        </w:rPr>
        <w:t>less optimistic</w:t>
      </w:r>
      <w:r w:rsidR="00CA7FC2">
        <w:rPr>
          <w:rFonts w:ascii="Times New Roman" w:hAnsi="Times New Roman" w:cs="Times New Roman"/>
          <w:sz w:val="24"/>
          <w:szCs w:val="24"/>
        </w:rPr>
        <w:t xml:space="preserve"> </w:t>
      </w:r>
      <w:r w:rsidR="00CA7FC2">
        <w:rPr>
          <w:rFonts w:ascii="Times New Roman" w:hAnsi="Times New Roman" w:cs="Times New Roman"/>
          <w:sz w:val="24"/>
          <w:szCs w:val="24"/>
        </w:rPr>
        <w:t>about</w:t>
      </w:r>
      <w:r w:rsidR="00CA7FC2">
        <w:rPr>
          <w:rFonts w:ascii="Times New Roman" w:hAnsi="Times New Roman" w:cs="Times New Roman"/>
          <w:sz w:val="24"/>
          <w:szCs w:val="24"/>
        </w:rPr>
        <w:t xml:space="preserve"> environmental issues than students in non-urban schools, PISA 2015</w:t>
      </w:r>
    </w:p>
    <w:tbl>
      <w:tblPr>
        <w:tblStyle w:val="TableGrid"/>
        <w:tblW w:w="5000" w:type="pct"/>
        <w:tblLook w:val="04A0" w:firstRow="1" w:lastRow="0" w:firstColumn="1" w:lastColumn="0" w:noHBand="0" w:noVBand="1"/>
      </w:tblPr>
      <w:tblGrid>
        <w:gridCol w:w="2122"/>
        <w:gridCol w:w="3696"/>
        <w:gridCol w:w="3532"/>
      </w:tblGrid>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 </w:t>
            </w:r>
          </w:p>
        </w:tc>
        <w:tc>
          <w:tcPr>
            <w:tcW w:w="1976" w:type="pct"/>
            <w:hideMark/>
          </w:tcPr>
          <w:p w:rsidR="0027753D" w:rsidRPr="00D67558" w:rsidRDefault="0027753D" w:rsidP="0027753D">
            <w:pPr>
              <w:rPr>
                <w:rFonts w:ascii="Times New Roman" w:hAnsi="Times New Roman" w:cs="Times New Roman"/>
                <w:sz w:val="24"/>
                <w:szCs w:val="24"/>
              </w:rPr>
            </w:pPr>
            <w:r w:rsidRPr="00D67558">
              <w:rPr>
                <w:rFonts w:ascii="Times New Roman" w:hAnsi="Times New Roman" w:cs="Times New Roman"/>
                <w:sz w:val="24"/>
                <w:szCs w:val="24"/>
              </w:rPr>
              <w:t xml:space="preserve">Urban students more </w:t>
            </w:r>
            <w:r>
              <w:rPr>
                <w:rFonts w:ascii="Times New Roman" w:hAnsi="Times New Roman" w:cs="Times New Roman"/>
                <w:sz w:val="24"/>
                <w:szCs w:val="24"/>
              </w:rPr>
              <w:t>optimistic</w:t>
            </w:r>
          </w:p>
        </w:tc>
        <w:tc>
          <w:tcPr>
            <w:tcW w:w="1889" w:type="pct"/>
            <w:hideMark/>
          </w:tcPr>
          <w:p w:rsidR="0027753D" w:rsidRPr="00D67558" w:rsidRDefault="0027753D" w:rsidP="0027753D">
            <w:pPr>
              <w:rPr>
                <w:rFonts w:ascii="Times New Roman" w:hAnsi="Times New Roman" w:cs="Times New Roman"/>
                <w:sz w:val="24"/>
                <w:szCs w:val="24"/>
              </w:rPr>
            </w:pPr>
            <w:r w:rsidRPr="00D67558">
              <w:rPr>
                <w:rFonts w:ascii="Times New Roman" w:hAnsi="Times New Roman" w:cs="Times New Roman"/>
                <w:sz w:val="24"/>
                <w:szCs w:val="24"/>
              </w:rPr>
              <w:t xml:space="preserve">Urban students </w:t>
            </w:r>
            <w:r>
              <w:rPr>
                <w:rFonts w:ascii="Times New Roman" w:hAnsi="Times New Roman" w:cs="Times New Roman"/>
                <w:sz w:val="24"/>
                <w:szCs w:val="24"/>
              </w:rPr>
              <w:t>less optimistic</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Air pollution</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1</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19</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Deforestation</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4</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18</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Extinction</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2</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22</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GMOs</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8</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7</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Greenhouse gas</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2</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22</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Nuclear waste</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3</w:t>
            </w:r>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12</w:t>
            </w:r>
          </w:p>
        </w:tc>
      </w:tr>
      <w:tr w:rsidR="0027753D" w:rsidRPr="00D67558" w:rsidTr="00D7190A">
        <w:trPr>
          <w:trHeight w:val="20"/>
        </w:trPr>
        <w:tc>
          <w:tcPr>
            <w:tcW w:w="1134" w:type="pct"/>
            <w:hideMark/>
          </w:tcPr>
          <w:p w:rsidR="0027753D" w:rsidRPr="00D67558" w:rsidRDefault="0027753D" w:rsidP="00D7190A">
            <w:pPr>
              <w:rPr>
                <w:rFonts w:ascii="Times New Roman" w:hAnsi="Times New Roman" w:cs="Times New Roman"/>
                <w:sz w:val="24"/>
                <w:szCs w:val="24"/>
              </w:rPr>
            </w:pPr>
            <w:r w:rsidRPr="00D67558">
              <w:rPr>
                <w:rFonts w:ascii="Times New Roman" w:hAnsi="Times New Roman" w:cs="Times New Roman"/>
                <w:sz w:val="24"/>
                <w:szCs w:val="24"/>
              </w:rPr>
              <w:t>Water shortage</w:t>
            </w:r>
          </w:p>
        </w:tc>
        <w:tc>
          <w:tcPr>
            <w:tcW w:w="1976"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4</w:t>
            </w:r>
            <w:bookmarkStart w:id="0" w:name="_GoBack"/>
            <w:bookmarkEnd w:id="0"/>
          </w:p>
        </w:tc>
        <w:tc>
          <w:tcPr>
            <w:tcW w:w="1889" w:type="pct"/>
            <w:hideMark/>
          </w:tcPr>
          <w:p w:rsidR="0027753D" w:rsidRPr="00D67558" w:rsidRDefault="008D4CE8" w:rsidP="00D7190A">
            <w:pPr>
              <w:rPr>
                <w:rFonts w:ascii="Times New Roman" w:hAnsi="Times New Roman" w:cs="Times New Roman"/>
                <w:sz w:val="24"/>
                <w:szCs w:val="24"/>
              </w:rPr>
            </w:pPr>
            <w:r>
              <w:rPr>
                <w:rFonts w:ascii="Times New Roman" w:hAnsi="Times New Roman" w:cs="Times New Roman"/>
                <w:sz w:val="24"/>
                <w:szCs w:val="24"/>
              </w:rPr>
              <w:t>18</w:t>
            </w:r>
          </w:p>
        </w:tc>
      </w:tr>
    </w:tbl>
    <w:p w:rsidR="0027753D" w:rsidRDefault="0027753D" w:rsidP="00D67558">
      <w:pPr>
        <w:rPr>
          <w:rFonts w:ascii="Times New Roman" w:hAnsi="Times New Roman" w:cs="Times New Roman"/>
          <w:sz w:val="24"/>
          <w:szCs w:val="24"/>
        </w:rPr>
      </w:pPr>
    </w:p>
    <w:p w:rsidR="00D67558" w:rsidRDefault="00D67558" w:rsidP="00D67558">
      <w:pPr>
        <w:rPr>
          <w:rFonts w:ascii="Times New Roman" w:hAnsi="Times New Roman" w:cs="Times New Roman"/>
          <w:sz w:val="24"/>
          <w:szCs w:val="24"/>
        </w:rPr>
      </w:pPr>
      <w:r>
        <w:rPr>
          <w:rFonts w:ascii="Times New Roman" w:hAnsi="Times New Roman" w:cs="Times New Roman"/>
          <w:sz w:val="24"/>
          <w:szCs w:val="24"/>
        </w:rPr>
        <w:lastRenderedPageBreak/>
        <w:t>Table 4.</w:t>
      </w:r>
      <w:r w:rsidR="00CA7FC2">
        <w:rPr>
          <w:rFonts w:ascii="Times New Roman" w:hAnsi="Times New Roman" w:cs="Times New Roman"/>
          <w:sz w:val="24"/>
          <w:szCs w:val="24"/>
        </w:rPr>
        <w:t xml:space="preserve"> </w:t>
      </w:r>
      <w:r w:rsidR="00CA7FC2">
        <w:rPr>
          <w:rFonts w:ascii="Times New Roman" w:hAnsi="Times New Roman" w:cs="Times New Roman"/>
          <w:sz w:val="24"/>
          <w:szCs w:val="24"/>
        </w:rPr>
        <w:t xml:space="preserve">Number of jurisdictions in which students in urban schools </w:t>
      </w:r>
      <w:r w:rsidR="00CA7FC2">
        <w:rPr>
          <w:rFonts w:ascii="Times New Roman" w:hAnsi="Times New Roman" w:cs="Times New Roman"/>
          <w:sz w:val="24"/>
          <w:szCs w:val="24"/>
        </w:rPr>
        <w:t xml:space="preserve">agree with statements about scientific epistemology </w:t>
      </w:r>
      <w:r w:rsidR="00CA7FC2">
        <w:rPr>
          <w:rFonts w:ascii="Times New Roman" w:hAnsi="Times New Roman" w:cs="Times New Roman"/>
          <w:sz w:val="24"/>
          <w:szCs w:val="24"/>
        </w:rPr>
        <w:t>than students in non-urban schools, PISA 2015</w:t>
      </w:r>
    </w:p>
    <w:tbl>
      <w:tblPr>
        <w:tblStyle w:val="TableGrid"/>
        <w:tblW w:w="0" w:type="auto"/>
        <w:tblLook w:val="04A0" w:firstRow="1" w:lastRow="0" w:firstColumn="1" w:lastColumn="0" w:noHBand="0" w:noVBand="1"/>
      </w:tblPr>
      <w:tblGrid>
        <w:gridCol w:w="3775"/>
        <w:gridCol w:w="2880"/>
        <w:gridCol w:w="2695"/>
      </w:tblGrid>
      <w:tr w:rsidR="00D67558" w:rsidTr="00C81D94">
        <w:tc>
          <w:tcPr>
            <w:tcW w:w="3775" w:type="dxa"/>
          </w:tcPr>
          <w:p w:rsidR="00D67558" w:rsidRDefault="00D67558" w:rsidP="00D67558">
            <w:pPr>
              <w:rPr>
                <w:rFonts w:ascii="Times New Roman" w:hAnsi="Times New Roman" w:cs="Times New Roman"/>
                <w:sz w:val="24"/>
                <w:szCs w:val="24"/>
              </w:rPr>
            </w:pPr>
          </w:p>
        </w:tc>
        <w:tc>
          <w:tcPr>
            <w:tcW w:w="2880" w:type="dxa"/>
          </w:tcPr>
          <w:p w:rsidR="00D67558" w:rsidRDefault="0027753D" w:rsidP="00D67558">
            <w:pPr>
              <w:rPr>
                <w:rFonts w:ascii="Times New Roman" w:hAnsi="Times New Roman" w:cs="Times New Roman"/>
                <w:sz w:val="24"/>
                <w:szCs w:val="24"/>
              </w:rPr>
            </w:pPr>
            <w:r>
              <w:rPr>
                <w:rFonts w:ascii="Times New Roman" w:hAnsi="Times New Roman" w:cs="Times New Roman"/>
                <w:sz w:val="24"/>
                <w:szCs w:val="24"/>
              </w:rPr>
              <w:t>Urban students agree more</w:t>
            </w:r>
          </w:p>
        </w:tc>
        <w:tc>
          <w:tcPr>
            <w:tcW w:w="2695" w:type="dxa"/>
          </w:tcPr>
          <w:p w:rsidR="00D67558" w:rsidRDefault="0027753D" w:rsidP="00D67558">
            <w:pPr>
              <w:rPr>
                <w:rFonts w:ascii="Times New Roman" w:hAnsi="Times New Roman" w:cs="Times New Roman"/>
                <w:sz w:val="24"/>
                <w:szCs w:val="24"/>
              </w:rPr>
            </w:pPr>
            <w:r>
              <w:rPr>
                <w:rFonts w:ascii="Times New Roman" w:hAnsi="Times New Roman" w:cs="Times New Roman"/>
                <w:sz w:val="24"/>
                <w:szCs w:val="24"/>
              </w:rPr>
              <w:t>Urban students agree less</w:t>
            </w:r>
          </w:p>
        </w:tc>
      </w:tr>
      <w:tr w:rsidR="00D67558" w:rsidTr="00C81D94">
        <w:tc>
          <w:tcPr>
            <w:tcW w:w="3775"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A good way to know if something is true is to do an experiment</w:t>
            </w:r>
          </w:p>
          <w:p w:rsidR="00C81D94" w:rsidRDefault="00C81D94" w:rsidP="00D67558">
            <w:pPr>
              <w:rPr>
                <w:rFonts w:ascii="Times New Roman" w:hAnsi="Times New Roman" w:cs="Times New Roman"/>
                <w:sz w:val="24"/>
                <w:szCs w:val="24"/>
              </w:rPr>
            </w:pPr>
          </w:p>
        </w:tc>
        <w:tc>
          <w:tcPr>
            <w:tcW w:w="2880"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29</w:t>
            </w:r>
          </w:p>
        </w:tc>
        <w:tc>
          <w:tcPr>
            <w:tcW w:w="2695" w:type="dxa"/>
          </w:tcPr>
          <w:p w:rsidR="00D67558" w:rsidRDefault="0027753D" w:rsidP="00D67558">
            <w:pPr>
              <w:rPr>
                <w:rFonts w:ascii="Times New Roman" w:hAnsi="Times New Roman" w:cs="Times New Roman"/>
                <w:sz w:val="24"/>
                <w:szCs w:val="24"/>
              </w:rPr>
            </w:pPr>
            <w:r>
              <w:rPr>
                <w:rFonts w:ascii="Times New Roman" w:hAnsi="Times New Roman" w:cs="Times New Roman"/>
                <w:sz w:val="24"/>
                <w:szCs w:val="24"/>
              </w:rPr>
              <w:t>2</w:t>
            </w:r>
          </w:p>
        </w:tc>
      </w:tr>
      <w:tr w:rsidR="00D67558" w:rsidTr="00C81D94">
        <w:tc>
          <w:tcPr>
            <w:tcW w:w="3775"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Ideas in science sometimes change</w:t>
            </w:r>
          </w:p>
          <w:p w:rsidR="00C81D94" w:rsidRDefault="00C81D94" w:rsidP="00D67558">
            <w:pPr>
              <w:rPr>
                <w:rFonts w:ascii="Times New Roman" w:hAnsi="Times New Roman" w:cs="Times New Roman"/>
                <w:sz w:val="24"/>
                <w:szCs w:val="24"/>
              </w:rPr>
            </w:pPr>
          </w:p>
          <w:p w:rsidR="00C81D94" w:rsidRDefault="00C81D94" w:rsidP="00D67558">
            <w:pPr>
              <w:rPr>
                <w:rFonts w:ascii="Times New Roman" w:hAnsi="Times New Roman" w:cs="Times New Roman"/>
                <w:sz w:val="24"/>
                <w:szCs w:val="24"/>
              </w:rPr>
            </w:pPr>
          </w:p>
        </w:tc>
        <w:tc>
          <w:tcPr>
            <w:tcW w:w="2880"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28</w:t>
            </w:r>
          </w:p>
        </w:tc>
        <w:tc>
          <w:tcPr>
            <w:tcW w:w="2695" w:type="dxa"/>
          </w:tcPr>
          <w:p w:rsidR="00D67558" w:rsidRDefault="0027753D" w:rsidP="00D67558">
            <w:pPr>
              <w:rPr>
                <w:rFonts w:ascii="Times New Roman" w:hAnsi="Times New Roman" w:cs="Times New Roman"/>
                <w:sz w:val="24"/>
                <w:szCs w:val="24"/>
              </w:rPr>
            </w:pPr>
            <w:r>
              <w:rPr>
                <w:rFonts w:ascii="Times New Roman" w:hAnsi="Times New Roman" w:cs="Times New Roman"/>
                <w:sz w:val="24"/>
                <w:szCs w:val="24"/>
              </w:rPr>
              <w:t>2</w:t>
            </w:r>
          </w:p>
        </w:tc>
      </w:tr>
      <w:tr w:rsidR="00D67558" w:rsidTr="00C81D94">
        <w:tc>
          <w:tcPr>
            <w:tcW w:w="3775" w:type="dxa"/>
          </w:tcPr>
          <w:p w:rsidR="00D67558" w:rsidRDefault="00C81D94" w:rsidP="00D67558">
            <w:pPr>
              <w:rPr>
                <w:rFonts w:ascii="Times New Roman" w:hAnsi="Times New Roman" w:cs="Times New Roman"/>
                <w:bCs/>
                <w:sz w:val="24"/>
                <w:szCs w:val="24"/>
              </w:rPr>
            </w:pPr>
            <w:r>
              <w:rPr>
                <w:rFonts w:ascii="Times New Roman" w:hAnsi="Times New Roman" w:cs="Times New Roman"/>
                <w:bCs/>
                <w:sz w:val="24"/>
                <w:szCs w:val="24"/>
              </w:rPr>
              <w:t>G</w:t>
            </w:r>
            <w:r>
              <w:rPr>
                <w:rFonts w:ascii="Times New Roman" w:hAnsi="Times New Roman" w:cs="Times New Roman"/>
                <w:bCs/>
                <w:sz w:val="24"/>
                <w:szCs w:val="24"/>
              </w:rPr>
              <w:t xml:space="preserve">ood </w:t>
            </w:r>
            <w:r w:rsidRPr="00CE04CC">
              <w:rPr>
                <w:rFonts w:ascii="Times New Roman" w:hAnsi="Times New Roman" w:cs="Times New Roman"/>
                <w:bCs/>
                <w:sz w:val="24"/>
                <w:szCs w:val="24"/>
              </w:rPr>
              <w:t xml:space="preserve">answers are based on evidence </w:t>
            </w:r>
            <w:r>
              <w:rPr>
                <w:rFonts w:ascii="Times New Roman" w:hAnsi="Times New Roman" w:cs="Times New Roman"/>
                <w:bCs/>
                <w:sz w:val="24"/>
                <w:szCs w:val="24"/>
              </w:rPr>
              <w:t>from many different experiments</w:t>
            </w:r>
          </w:p>
          <w:p w:rsidR="00C81D94" w:rsidRDefault="00C81D94" w:rsidP="00D67558">
            <w:pPr>
              <w:rPr>
                <w:rFonts w:ascii="Times New Roman" w:hAnsi="Times New Roman" w:cs="Times New Roman"/>
                <w:sz w:val="24"/>
                <w:szCs w:val="24"/>
              </w:rPr>
            </w:pPr>
          </w:p>
        </w:tc>
        <w:tc>
          <w:tcPr>
            <w:tcW w:w="2880"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32</w:t>
            </w:r>
          </w:p>
        </w:tc>
        <w:tc>
          <w:tcPr>
            <w:tcW w:w="2695"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w:t>
            </w:r>
          </w:p>
        </w:tc>
      </w:tr>
      <w:tr w:rsidR="00D67558" w:rsidTr="00C81D94">
        <w:tc>
          <w:tcPr>
            <w:tcW w:w="3775" w:type="dxa"/>
          </w:tcPr>
          <w:p w:rsidR="00D67558" w:rsidRDefault="00C81D94" w:rsidP="00D67558">
            <w:pPr>
              <w:rPr>
                <w:rFonts w:ascii="Times New Roman" w:hAnsi="Times New Roman" w:cs="Times New Roman"/>
                <w:sz w:val="24"/>
                <w:szCs w:val="24"/>
              </w:rPr>
            </w:pPr>
            <w:r>
              <w:rPr>
                <w:rFonts w:ascii="Times New Roman" w:hAnsi="Times New Roman" w:cs="Times New Roman"/>
                <w:bCs/>
                <w:sz w:val="24"/>
                <w:szCs w:val="24"/>
              </w:rPr>
              <w:t>I</w:t>
            </w:r>
            <w:r w:rsidRPr="00CE04CC">
              <w:rPr>
                <w:rFonts w:ascii="Times New Roman" w:hAnsi="Times New Roman" w:cs="Times New Roman"/>
                <w:bCs/>
                <w:sz w:val="24"/>
                <w:szCs w:val="24"/>
              </w:rPr>
              <w:t>t is good to try experiments more than once to make sure of your</w:t>
            </w:r>
            <w:r>
              <w:rPr>
                <w:rFonts w:ascii="Times New Roman" w:hAnsi="Times New Roman" w:cs="Times New Roman"/>
                <w:bCs/>
                <w:sz w:val="24"/>
                <w:szCs w:val="24"/>
              </w:rPr>
              <w:t xml:space="preserve"> findings</w:t>
            </w:r>
          </w:p>
        </w:tc>
        <w:tc>
          <w:tcPr>
            <w:tcW w:w="2880"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26</w:t>
            </w:r>
          </w:p>
        </w:tc>
        <w:tc>
          <w:tcPr>
            <w:tcW w:w="2695"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w:t>
            </w:r>
          </w:p>
        </w:tc>
      </w:tr>
      <w:tr w:rsidR="00D67558" w:rsidTr="00C81D94">
        <w:tc>
          <w:tcPr>
            <w:tcW w:w="3775" w:type="dxa"/>
          </w:tcPr>
          <w:p w:rsidR="00D67558" w:rsidRDefault="00C81D94" w:rsidP="00D67558">
            <w:pPr>
              <w:rPr>
                <w:rFonts w:ascii="Times New Roman" w:hAnsi="Times New Roman" w:cs="Times New Roman"/>
                <w:bCs/>
                <w:sz w:val="24"/>
                <w:szCs w:val="24"/>
              </w:rPr>
            </w:pPr>
            <w:r>
              <w:rPr>
                <w:rFonts w:ascii="Times New Roman" w:hAnsi="Times New Roman" w:cs="Times New Roman"/>
                <w:bCs/>
                <w:sz w:val="24"/>
                <w:szCs w:val="24"/>
              </w:rPr>
              <w:t>S</w:t>
            </w:r>
            <w:r w:rsidRPr="00CE04CC">
              <w:rPr>
                <w:rFonts w:ascii="Times New Roman" w:hAnsi="Times New Roman" w:cs="Times New Roman"/>
                <w:bCs/>
                <w:sz w:val="24"/>
                <w:szCs w:val="24"/>
              </w:rPr>
              <w:t>ometimes scientists change their mind</w:t>
            </w:r>
            <w:r>
              <w:rPr>
                <w:rFonts w:ascii="Times New Roman" w:hAnsi="Times New Roman" w:cs="Times New Roman"/>
                <w:bCs/>
                <w:sz w:val="24"/>
                <w:szCs w:val="24"/>
              </w:rPr>
              <w:t>s about what is true in science</w:t>
            </w:r>
          </w:p>
          <w:p w:rsidR="00C81D94" w:rsidRDefault="00C81D94" w:rsidP="00D67558">
            <w:pPr>
              <w:rPr>
                <w:rFonts w:ascii="Times New Roman" w:hAnsi="Times New Roman" w:cs="Times New Roman"/>
                <w:sz w:val="24"/>
                <w:szCs w:val="24"/>
              </w:rPr>
            </w:pPr>
          </w:p>
        </w:tc>
        <w:tc>
          <w:tcPr>
            <w:tcW w:w="2880" w:type="dxa"/>
          </w:tcPr>
          <w:p w:rsidR="00D67558" w:rsidRDefault="00C81D94" w:rsidP="00D67558">
            <w:pPr>
              <w:rPr>
                <w:rFonts w:ascii="Times New Roman" w:hAnsi="Times New Roman" w:cs="Times New Roman"/>
                <w:sz w:val="24"/>
                <w:szCs w:val="24"/>
              </w:rPr>
            </w:pPr>
            <w:r>
              <w:rPr>
                <w:rFonts w:ascii="Times New Roman" w:hAnsi="Times New Roman" w:cs="Times New Roman"/>
                <w:sz w:val="24"/>
                <w:szCs w:val="24"/>
              </w:rPr>
              <w:t>20</w:t>
            </w:r>
          </w:p>
        </w:tc>
        <w:tc>
          <w:tcPr>
            <w:tcW w:w="2695" w:type="dxa"/>
          </w:tcPr>
          <w:p w:rsidR="00D67558" w:rsidRDefault="0027753D" w:rsidP="00D67558">
            <w:pPr>
              <w:rPr>
                <w:rFonts w:ascii="Times New Roman" w:hAnsi="Times New Roman" w:cs="Times New Roman"/>
                <w:sz w:val="24"/>
                <w:szCs w:val="24"/>
              </w:rPr>
            </w:pPr>
            <w:r>
              <w:rPr>
                <w:rFonts w:ascii="Times New Roman" w:hAnsi="Times New Roman" w:cs="Times New Roman"/>
                <w:sz w:val="24"/>
                <w:szCs w:val="24"/>
              </w:rPr>
              <w:t>1</w:t>
            </w:r>
          </w:p>
        </w:tc>
      </w:tr>
    </w:tbl>
    <w:p w:rsidR="00D67558" w:rsidRPr="00D67558" w:rsidRDefault="00D67558" w:rsidP="007A45A6">
      <w:pPr>
        <w:rPr>
          <w:rFonts w:ascii="Times New Roman" w:hAnsi="Times New Roman" w:cs="Times New Roman"/>
          <w:sz w:val="24"/>
          <w:szCs w:val="24"/>
        </w:rPr>
      </w:pPr>
      <w:r>
        <w:rPr>
          <w:rFonts w:ascii="Times New Roman" w:hAnsi="Times New Roman" w:cs="Times New Roman"/>
          <w:sz w:val="24"/>
          <w:szCs w:val="24"/>
        </w:rPr>
        <w:t xml:space="preserve"> </w:t>
      </w:r>
    </w:p>
    <w:p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urban versus non-urban students’ performance in science and how it relates to its awareness of environmental issues, optimism about environmental issues, and approaches to scientific epistemology. </w:t>
      </w:r>
      <w:r w:rsidRPr="004A500B">
        <w:rPr>
          <w:rFonts w:ascii="Times New Roman" w:hAnsi="Times New Roman" w:cs="Times New Roman"/>
          <w:sz w:val="24"/>
          <w:szCs w:val="24"/>
        </w:rPr>
        <w:t xml:space="preserve">I show that in most countries, 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These are all variables that are strongly correlated with performance on the science section of PISA, though a causal relationship cannot b</w:t>
      </w:r>
      <w:r>
        <w:rPr>
          <w:rFonts w:ascii="Times New Roman" w:hAnsi="Times New Roman" w:cs="Times New Roman"/>
          <w:sz w:val="24"/>
          <w:szCs w:val="24"/>
        </w:rPr>
        <w:t>e inferred one way or the other.</w:t>
      </w:r>
    </w:p>
    <w:p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2307A4"/>
    <w:rsid w:val="00261CED"/>
    <w:rsid w:val="002768C0"/>
    <w:rsid w:val="0027753D"/>
    <w:rsid w:val="0037602C"/>
    <w:rsid w:val="003778B3"/>
    <w:rsid w:val="003F1F0E"/>
    <w:rsid w:val="004A500B"/>
    <w:rsid w:val="00670EBB"/>
    <w:rsid w:val="00676581"/>
    <w:rsid w:val="007A45A6"/>
    <w:rsid w:val="007A6B84"/>
    <w:rsid w:val="0080627A"/>
    <w:rsid w:val="00832A78"/>
    <w:rsid w:val="008D4CE8"/>
    <w:rsid w:val="00A77432"/>
    <w:rsid w:val="00AF5E4B"/>
    <w:rsid w:val="00C75B08"/>
    <w:rsid w:val="00C81D94"/>
    <w:rsid w:val="00CA7FC2"/>
    <w:rsid w:val="00CE04CC"/>
    <w:rsid w:val="00CF02F7"/>
    <w:rsid w:val="00D67558"/>
    <w:rsid w:val="00E14187"/>
    <w:rsid w:val="00E53452"/>
    <w:rsid w:val="00E66D83"/>
    <w:rsid w:val="00EA058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5</cp:revision>
  <dcterms:created xsi:type="dcterms:W3CDTF">2017-10-03T18:50:00Z</dcterms:created>
  <dcterms:modified xsi:type="dcterms:W3CDTF">2017-10-03T19:00:00Z</dcterms:modified>
</cp:coreProperties>
</file>