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CBBC6" w14:textId="77777777" w:rsidR="00465B6E" w:rsidRPr="00465B6E" w:rsidRDefault="00465B6E" w:rsidP="00465B6E">
      <w:pPr>
        <w:spacing w:line="240" w:lineRule="auto"/>
        <w:rPr>
          <w:rFonts w:ascii="Times New Roman" w:hAnsi="Times New Roman" w:cs="Times New Roman"/>
          <w:i/>
          <w:sz w:val="24"/>
          <w:szCs w:val="24"/>
        </w:rPr>
      </w:pPr>
      <w:r w:rsidRPr="00465B6E">
        <w:rPr>
          <w:rFonts w:ascii="Times New Roman" w:hAnsi="Times New Roman" w:cs="Times New Roman"/>
          <w:i/>
          <w:sz w:val="24"/>
          <w:szCs w:val="24"/>
        </w:rPr>
        <w:t>Beyond performance: do 15 year old urban students perceive science issues differently than their rural peers?</w:t>
      </w:r>
    </w:p>
    <w:p w14:paraId="78AC77D6" w14:textId="77777777" w:rsidR="004904E6" w:rsidRPr="00465B6E" w:rsidRDefault="00465B6E" w:rsidP="00465B6E">
      <w:pPr>
        <w:spacing w:line="240" w:lineRule="auto"/>
        <w:jc w:val="both"/>
        <w:rPr>
          <w:rFonts w:ascii="Times New Roman" w:hAnsi="Times New Roman" w:cs="Times New Roman"/>
          <w:b/>
          <w:sz w:val="24"/>
          <w:szCs w:val="24"/>
        </w:rPr>
      </w:pPr>
      <w:r w:rsidRPr="00465B6E">
        <w:rPr>
          <w:rFonts w:ascii="Times New Roman" w:hAnsi="Times New Roman" w:cs="Times New Roman"/>
          <w:b/>
          <w:sz w:val="24"/>
          <w:szCs w:val="24"/>
        </w:rPr>
        <w:t>Julian E. Gerez</w:t>
      </w:r>
    </w:p>
    <w:p w14:paraId="0B7E55F0" w14:textId="77777777" w:rsidR="006D4A86" w:rsidRDefault="00465B6E" w:rsidP="00465B6E">
      <w:pPr>
        <w:spacing w:line="240" w:lineRule="auto"/>
        <w:jc w:val="both"/>
        <w:rPr>
          <w:rFonts w:ascii="Times New Roman" w:hAnsi="Times New Roman" w:cs="Times New Roman"/>
          <w:sz w:val="24"/>
          <w:szCs w:val="24"/>
        </w:rPr>
      </w:pPr>
      <w:r w:rsidRPr="00465B6E">
        <w:rPr>
          <w:rFonts w:ascii="Times New Roman" w:hAnsi="Times New Roman" w:cs="Times New Roman"/>
          <w:sz w:val="24"/>
          <w:szCs w:val="24"/>
        </w:rPr>
        <w:t>American Institutes for Research</w:t>
      </w:r>
    </w:p>
    <w:p w14:paraId="08B3A225" w14:textId="77777777" w:rsidR="006D4A86" w:rsidRDefault="006D4A86" w:rsidP="006D4A86">
      <w:pPr>
        <w:rPr>
          <w:rFonts w:ascii="Times New Roman" w:hAnsi="Times New Roman" w:cs="Times New Roman"/>
          <w:b/>
          <w:sz w:val="24"/>
          <w:szCs w:val="24"/>
        </w:rPr>
      </w:pPr>
      <w:r>
        <w:rPr>
          <w:rFonts w:ascii="Times New Roman" w:hAnsi="Times New Roman" w:cs="Times New Roman"/>
          <w:b/>
          <w:sz w:val="24"/>
          <w:szCs w:val="24"/>
        </w:rPr>
        <w:t>Introduction</w:t>
      </w:r>
    </w:p>
    <w:p w14:paraId="6E6023A1" w14:textId="77777777" w:rsidR="008E2119" w:rsidRDefault="00D0260B" w:rsidP="00017CEC">
      <w:pPr>
        <w:ind w:firstLine="720"/>
        <w:rPr>
          <w:rFonts w:ascii="Times New Roman" w:hAnsi="Times New Roman" w:cs="Times New Roman"/>
          <w:sz w:val="24"/>
          <w:szCs w:val="24"/>
        </w:rPr>
      </w:pPr>
      <w:r>
        <w:rPr>
          <w:rFonts w:ascii="Times New Roman" w:hAnsi="Times New Roman" w:cs="Times New Roman"/>
          <w:sz w:val="24"/>
          <w:szCs w:val="24"/>
        </w:rPr>
        <w:t>In the United States, science has become increasingly politicized, with public trust in the scientific commun</w:t>
      </w:r>
      <w:r w:rsidR="008E2119">
        <w:rPr>
          <w:rFonts w:ascii="Times New Roman" w:hAnsi="Times New Roman" w:cs="Times New Roman"/>
          <w:sz w:val="24"/>
          <w:szCs w:val="24"/>
        </w:rPr>
        <w:t xml:space="preserve">ity decreasing, </w:t>
      </w:r>
      <w:r w:rsidR="008E2119">
        <w:rPr>
          <w:rFonts w:ascii="Times New Roman" w:hAnsi="Times New Roman" w:cs="Times New Roman"/>
          <w:i/>
          <w:sz w:val="24"/>
          <w:szCs w:val="24"/>
        </w:rPr>
        <w:t>despite</w:t>
      </w:r>
      <w:r w:rsidR="008E2119">
        <w:rPr>
          <w:rFonts w:ascii="Times New Roman" w:hAnsi="Times New Roman" w:cs="Times New Roman"/>
          <w:sz w:val="24"/>
          <w:szCs w:val="24"/>
        </w:rPr>
        <w:t xml:space="preserve"> increasing education levels</w:t>
      </w:r>
      <w:r w:rsidR="00EC7387">
        <w:rPr>
          <w:rFonts w:ascii="Times New Roman" w:hAnsi="Times New Roman" w:cs="Times New Roman"/>
          <w:sz w:val="24"/>
          <w:szCs w:val="24"/>
        </w:rPr>
        <w:t>. Between 1974 and 2010, conservatives in particular went from being the group with the highest trust in science, and ended the period with the lowest trust in science</w:t>
      </w:r>
      <w:r w:rsidR="008E2119">
        <w:rPr>
          <w:rFonts w:ascii="Times New Roman" w:hAnsi="Times New Roman" w:cs="Times New Roman"/>
          <w:sz w:val="24"/>
          <w:szCs w:val="24"/>
        </w:rPr>
        <w:t xml:space="preserve"> (</w:t>
      </w:r>
      <w:proofErr w:type="spellStart"/>
      <w:r w:rsidR="008E2119">
        <w:rPr>
          <w:rFonts w:ascii="Times New Roman" w:hAnsi="Times New Roman" w:cs="Times New Roman"/>
          <w:sz w:val="24"/>
          <w:szCs w:val="24"/>
        </w:rPr>
        <w:t>Gauchat</w:t>
      </w:r>
      <w:proofErr w:type="spellEnd"/>
      <w:r w:rsidR="008E2119">
        <w:rPr>
          <w:rFonts w:ascii="Times New Roman" w:hAnsi="Times New Roman" w:cs="Times New Roman"/>
          <w:sz w:val="24"/>
          <w:szCs w:val="24"/>
        </w:rPr>
        <w:t xml:space="preserve">, 2012). </w:t>
      </w:r>
      <w:r w:rsidR="007E0B42">
        <w:rPr>
          <w:rFonts w:ascii="Times New Roman" w:hAnsi="Times New Roman" w:cs="Times New Roman"/>
          <w:sz w:val="24"/>
          <w:szCs w:val="24"/>
        </w:rPr>
        <w:t>Likewise, rural and urban voters have become increasingly polarized, with the former group increasingly voting for the conservative Republican Party and the latter increasingly voting for the liberal Democratic Party (McKee, 2008).</w:t>
      </w:r>
    </w:p>
    <w:p w14:paraId="7943CE8C" w14:textId="77777777" w:rsidR="006D4A86" w:rsidRDefault="006D4A86" w:rsidP="00017CEC">
      <w:pPr>
        <w:ind w:firstLine="720"/>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Pr>
          <w:rFonts w:ascii="Times New Roman" w:hAnsi="Times New Roman" w:cs="Times New Roman"/>
          <w:sz w:val="24"/>
          <w:szCs w:val="24"/>
        </w:rPr>
        <w:t>her levels t</w:t>
      </w:r>
      <w:r w:rsidR="008E2119">
        <w:rPr>
          <w:rFonts w:ascii="Times New Roman" w:hAnsi="Times New Roman" w:cs="Times New Roman"/>
          <w:sz w:val="24"/>
          <w:szCs w:val="24"/>
        </w:rPr>
        <w:t>han students in non-urban areas (OECD 2013).</w:t>
      </w:r>
      <w:r w:rsidR="00871517">
        <w:rPr>
          <w:rFonts w:ascii="Times New Roman" w:hAnsi="Times New Roman" w:cs="Times New Roman"/>
          <w:sz w:val="24"/>
          <w:szCs w:val="24"/>
        </w:rPr>
        <w:t xml:space="preserve"> And yet, in the U.S., urban students have performed worse than their non-urban peers in the science portion of the Program for International Student Assessment (PISA) in two of the last four cycles of the assessment.</w:t>
      </w:r>
      <w:r w:rsidR="00871517">
        <w:rPr>
          <w:rStyle w:val="FootnoteReference"/>
          <w:rFonts w:ascii="Times New Roman" w:hAnsi="Times New Roman" w:cs="Times New Roman"/>
          <w:sz w:val="24"/>
          <w:szCs w:val="24"/>
        </w:rPr>
        <w:footnoteReference w:id="1"/>
      </w:r>
    </w:p>
    <w:p w14:paraId="3957C2D3" w14:textId="77777777" w:rsidR="00871517"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 xml:space="preserve">Using PISA data, this paper examines the relationship between perception of science issues and science performance cross-nationally, while also focusing on the divide between urban and non-urban students. </w:t>
      </w:r>
      <w:r>
        <w:rPr>
          <w:rFonts w:ascii="Times New Roman" w:hAnsi="Times New Roman" w:cs="Times New Roman"/>
          <w:sz w:val="24"/>
          <w:szCs w:val="24"/>
        </w:rPr>
        <w:t>Measuring average academic performance across countries can mask inequities by subgroups such as school location. Understanding how variables that are connected to students’ perception and beliefs about science and science issues will provide insight into how to improve the overall learning environment.</w:t>
      </w:r>
    </w:p>
    <w:p w14:paraId="76D9FD21" w14:textId="77777777" w:rsidR="00871517"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 xml:space="preserve">First, I use PISA data to demonstrate the differences in student science performance by school community (urban vs. non-urban) </w:t>
      </w:r>
      <w:r>
        <w:rPr>
          <w:rFonts w:ascii="Times New Roman" w:hAnsi="Times New Roman" w:cs="Times New Roman"/>
          <w:sz w:val="24"/>
          <w:szCs w:val="24"/>
        </w:rPr>
        <w:t>across PISA countries over four separate cycles (2006, 2009, 2012, and 2015).</w:t>
      </w:r>
    </w:p>
    <w:p w14:paraId="23D0CB15" w14:textId="02038F15" w:rsidR="008E2119"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Using</w:t>
      </w:r>
      <w:r w:rsidR="008E2119">
        <w:rPr>
          <w:rFonts w:ascii="Times New Roman" w:hAnsi="Times New Roman" w:cs="Times New Roman"/>
          <w:sz w:val="24"/>
          <w:szCs w:val="24"/>
        </w:rPr>
        <w:t xml:space="preserve"> PISA 2015 data on student attitudes toward learning science, this analysis also examines (1) students’ awa</w:t>
      </w:r>
      <w:r w:rsidR="003175B7">
        <w:rPr>
          <w:rFonts w:ascii="Times New Roman" w:hAnsi="Times New Roman" w:cs="Times New Roman"/>
          <w:sz w:val="24"/>
          <w:szCs w:val="24"/>
        </w:rPr>
        <w:t>reness of environmental issues and (2</w:t>
      </w:r>
      <w:r w:rsidR="008E2119">
        <w:rPr>
          <w:rFonts w:ascii="Times New Roman" w:hAnsi="Times New Roman" w:cs="Times New Roman"/>
          <w:sz w:val="24"/>
          <w:szCs w:val="24"/>
        </w:rPr>
        <w:t>) students’ beliefs about scientific epistemology and how these three learning outcomes vary across urban and non-urban schools.</w:t>
      </w:r>
      <w:r w:rsidR="003175B7">
        <w:rPr>
          <w:rFonts w:ascii="Times New Roman" w:hAnsi="Times New Roman" w:cs="Times New Roman"/>
          <w:sz w:val="24"/>
          <w:szCs w:val="24"/>
        </w:rPr>
        <w:t xml:space="preserve"> This paper also shows that </w:t>
      </w:r>
      <w:r w:rsidR="00A27697">
        <w:rPr>
          <w:rFonts w:ascii="Times New Roman" w:hAnsi="Times New Roman" w:cs="Times New Roman"/>
          <w:sz w:val="24"/>
          <w:szCs w:val="24"/>
        </w:rPr>
        <w:t>these two variables, along with student optimism about environmental issues, are highly related.</w:t>
      </w:r>
    </w:p>
    <w:p w14:paraId="1C0BB448" w14:textId="77777777" w:rsidR="008E2119"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Finally, I use the variable concerning students’ optimism about environmental issues, which appeared in both the 2006 and 2015 versions of PISA to determine how student beliefs about environmental issues have changed over nine years.</w:t>
      </w:r>
    </w:p>
    <w:p w14:paraId="247C1803" w14:textId="130C74CB" w:rsidR="003E56BA" w:rsidRDefault="003E56BA" w:rsidP="003E56B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responses to the aforementioned questions. Linear, logit, and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analyses are used to control for performance when using the non-cognitive variables as outcomes.</w:t>
      </w:r>
    </w:p>
    <w:p w14:paraId="080FE4DC" w14:textId="77777777" w:rsidR="00DE4CA6" w:rsidRDefault="00DE4CA6" w:rsidP="006D4A86">
      <w:pPr>
        <w:rPr>
          <w:rFonts w:ascii="Times New Roman" w:hAnsi="Times New Roman" w:cs="Times New Roman"/>
          <w:b/>
          <w:sz w:val="24"/>
          <w:szCs w:val="24"/>
        </w:rPr>
      </w:pPr>
      <w:r>
        <w:rPr>
          <w:rFonts w:ascii="Times New Roman" w:hAnsi="Times New Roman" w:cs="Times New Roman"/>
          <w:b/>
          <w:sz w:val="24"/>
          <w:szCs w:val="24"/>
        </w:rPr>
        <w:t>Urban students perform better in science than their non-urban peers</w:t>
      </w:r>
    </w:p>
    <w:p w14:paraId="64CB6FF6" w14:textId="77777777" w:rsidR="000B426E" w:rsidRDefault="00017CEC" w:rsidP="000B426E">
      <w:pPr>
        <w:ind w:firstLine="720"/>
        <w:rPr>
          <w:rFonts w:ascii="Times New Roman" w:hAnsi="Times New Roman" w:cs="Times New Roman"/>
          <w:sz w:val="24"/>
          <w:szCs w:val="24"/>
        </w:rPr>
      </w:pPr>
      <w:r>
        <w:rPr>
          <w:rFonts w:ascii="Times New Roman" w:hAnsi="Times New Roman" w:cs="Times New Roman"/>
          <w:sz w:val="24"/>
          <w:szCs w:val="24"/>
        </w:rPr>
        <w:t>This paper uses the school location variable of the PISA school questionnaire</w:t>
      </w:r>
      <w:r>
        <w:rPr>
          <w:rFonts w:ascii="Times New Roman" w:hAnsi="Times New Roman" w:cs="Times New Roman"/>
          <w:sz w:val="24"/>
          <w:szCs w:val="24"/>
        </w:rPr>
        <w:t xml:space="preserve"> to define urbanicity. This variable</w:t>
      </w:r>
      <w:r>
        <w:rPr>
          <w:rFonts w:ascii="Times New Roman" w:hAnsi="Times New Roman" w:cs="Times New Roman"/>
          <w:sz w:val="24"/>
          <w:szCs w:val="24"/>
        </w:rPr>
        <w:t xml:space="preserve"> asks principals in what kind of co</w:t>
      </w:r>
      <w:r>
        <w:rPr>
          <w:rFonts w:ascii="Times New Roman" w:hAnsi="Times New Roman" w:cs="Times New Roman"/>
          <w:sz w:val="24"/>
          <w:szCs w:val="24"/>
        </w:rPr>
        <w:t>mmunity their school is located and provides the following</w:t>
      </w:r>
      <w:r w:rsidR="000B426E">
        <w:rPr>
          <w:rFonts w:ascii="Times New Roman" w:hAnsi="Times New Roman" w:cs="Times New Roman"/>
          <w:sz w:val="24"/>
          <w:szCs w:val="24"/>
        </w:rPr>
        <w:t xml:space="preserve"> options: (1) a village, hamlet, or rural area (fewer than 3,000 people), (2) a small town (3,000 to about 15,000 people), (3) a tow</w:t>
      </w:r>
      <w:bookmarkStart w:id="0" w:name="_GoBack"/>
      <w:bookmarkEnd w:id="0"/>
      <w:r w:rsidR="000B426E">
        <w:rPr>
          <w:rFonts w:ascii="Times New Roman" w:hAnsi="Times New Roman" w:cs="Times New Roman"/>
          <w:sz w:val="24"/>
          <w:szCs w:val="24"/>
        </w:rPr>
        <w:t>n (15,000 to about 100,000 people), (4) a city (100,000 to about 1,000,000 people), and (5) a large city (with over 1,000,000 people). This analysis considers schools located in the last two options as “urban,” while all other schools are defined as non-urban.</w:t>
      </w:r>
    </w:p>
    <w:p w14:paraId="4340F30D" w14:textId="0A033B57" w:rsidR="00F8494F" w:rsidRDefault="00404324" w:rsidP="00F8494F">
      <w:pPr>
        <w:ind w:firstLine="720"/>
        <w:rPr>
          <w:rFonts w:ascii="Times New Roman" w:hAnsi="Times New Roman" w:cs="Times New Roman"/>
          <w:sz w:val="24"/>
          <w:szCs w:val="24"/>
        </w:rPr>
      </w:pPr>
      <w:r>
        <w:rPr>
          <w:rFonts w:ascii="Times New Roman" w:hAnsi="Times New Roman" w:cs="Times New Roman"/>
          <w:sz w:val="24"/>
          <w:szCs w:val="24"/>
        </w:rPr>
        <w:t>Though in its simplest definition, an urban area is a human settlement with high population density and infrastructure of built development</w:t>
      </w:r>
      <w:r w:rsidR="00643A7F">
        <w:rPr>
          <w:rFonts w:ascii="Times New Roman" w:hAnsi="Times New Roman" w:cs="Times New Roman"/>
          <w:sz w:val="24"/>
          <w:szCs w:val="24"/>
        </w:rPr>
        <w:t xml:space="preserve">, the definition of urbanicity varies across countries and across scholars, with definitional factors ranging from population and population density to functional factors and even symbolic statuses (Lynch 1984, </w:t>
      </w:r>
      <w:r w:rsidR="00643A7F" w:rsidRPr="0091792A">
        <w:rPr>
          <w:rFonts w:ascii="Times New Roman" w:hAnsi="Times New Roman" w:cs="Times New Roman"/>
          <w:sz w:val="24"/>
          <w:szCs w:val="24"/>
          <w:highlight w:val="red"/>
        </w:rPr>
        <w:t>missing page number</w:t>
      </w:r>
      <w:r w:rsidR="00643A7F">
        <w:rPr>
          <w:rFonts w:ascii="Times New Roman" w:hAnsi="Times New Roman" w:cs="Times New Roman"/>
          <w:sz w:val="24"/>
          <w:szCs w:val="24"/>
        </w:rPr>
        <w:t xml:space="preserve">). </w:t>
      </w:r>
      <w:r w:rsidR="00F8494F">
        <w:rPr>
          <w:rFonts w:ascii="Times New Roman" w:hAnsi="Times New Roman" w:cs="Times New Roman"/>
          <w:sz w:val="24"/>
          <w:szCs w:val="24"/>
        </w:rPr>
        <w:t xml:space="preserve">Across all PISA countries and each of these cycles, the average percentage of urban students was 36%, while the average percentage of non-urban students was 61%. </w:t>
      </w:r>
      <w:r w:rsidR="00E66950" w:rsidRPr="00E66950">
        <w:rPr>
          <w:rFonts w:ascii="Times New Roman" w:hAnsi="Times New Roman" w:cs="Times New Roman"/>
          <w:sz w:val="24"/>
          <w:szCs w:val="24"/>
        </w:rPr>
        <w:t>Figure X shows the percentage of students who live in urban versus non-urban settings in 2006, 2009, 2012, and 2015.</w:t>
      </w:r>
    </w:p>
    <w:p w14:paraId="4A1AA7BE" w14:textId="11B16C28" w:rsidR="00F8494F" w:rsidRDefault="00F8494F" w:rsidP="00F8494F">
      <w:pPr>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F8494F">
        <w:rPr>
          <w:rFonts w:ascii="Times New Roman" w:hAnsi="Times New Roman" w:cs="Times New Roman"/>
          <w:sz w:val="24"/>
          <w:szCs w:val="24"/>
          <w:highlight w:val="red"/>
        </w:rPr>
        <w:t>X</w:t>
      </w:r>
      <w:r>
        <w:rPr>
          <w:rFonts w:ascii="Times New Roman" w:hAnsi="Times New Roman" w:cs="Times New Roman"/>
          <w:sz w:val="24"/>
          <w:szCs w:val="24"/>
        </w:rPr>
        <w:t>]</w:t>
      </w:r>
    </w:p>
    <w:p w14:paraId="6B93185E" w14:textId="4F13BCDB" w:rsidR="00404324" w:rsidRDefault="00643A7F" w:rsidP="00643A7F">
      <w:pPr>
        <w:ind w:firstLine="720"/>
        <w:rPr>
          <w:rFonts w:ascii="Times New Roman" w:hAnsi="Times New Roman" w:cs="Times New Roman"/>
          <w:sz w:val="24"/>
          <w:szCs w:val="24"/>
        </w:rPr>
      </w:pPr>
      <w:r>
        <w:rPr>
          <w:rFonts w:ascii="Times New Roman" w:hAnsi="Times New Roman" w:cs="Times New Roman"/>
          <w:sz w:val="24"/>
          <w:szCs w:val="24"/>
        </w:rPr>
        <w:t xml:space="preserve">In this sense, the cut-off of 100,000 people by the OECD is somewhat arbitrary, though necessarily so. However, cities of more than 100,000 people generally host schools that are “larger, tend to benefit from better educational resources, and often enjoy greater autonomy in how they can allocate those resources” (OECD 2013). </w:t>
      </w:r>
      <w:commentRangeStart w:id="1"/>
      <w:r>
        <w:rPr>
          <w:rFonts w:ascii="Times New Roman" w:hAnsi="Times New Roman" w:cs="Times New Roman"/>
          <w:sz w:val="24"/>
          <w:szCs w:val="24"/>
        </w:rPr>
        <w:t xml:space="preserve">As a result of these factors they are less likely to experience staff shortages, are more likely to have a higher proportion of </w:t>
      </w:r>
      <w:r w:rsidRPr="00643A7F">
        <w:rPr>
          <w:rFonts w:ascii="Times New Roman" w:hAnsi="Times New Roman" w:cs="Times New Roman"/>
          <w:sz w:val="24"/>
          <w:szCs w:val="24"/>
        </w:rPr>
        <w:t>qualified teachers, and have higher student-teacher ratios than schools in rural areas and towns</w:t>
      </w:r>
      <w:r>
        <w:rPr>
          <w:rFonts w:ascii="Times New Roman" w:hAnsi="Times New Roman" w:cs="Times New Roman"/>
          <w:sz w:val="24"/>
          <w:szCs w:val="24"/>
        </w:rPr>
        <w:t>. Socioeconomic status explains only part of the performance difference between students who attend urban schools and other students</w:t>
      </w:r>
      <w:r w:rsidR="00FD15B0">
        <w:rPr>
          <w:rFonts w:ascii="Times New Roman" w:hAnsi="Times New Roman" w:cs="Times New Roman"/>
          <w:sz w:val="24"/>
          <w:szCs w:val="24"/>
        </w:rPr>
        <w:t xml:space="preserve"> (ibid).</w:t>
      </w:r>
      <w:commentRangeEnd w:id="1"/>
      <w:r w:rsidR="00FD15B0">
        <w:rPr>
          <w:rStyle w:val="CommentReference"/>
        </w:rPr>
        <w:commentReference w:id="1"/>
      </w:r>
    </w:p>
    <w:p w14:paraId="051AAC7D" w14:textId="107B59CB" w:rsidR="00FD15B0" w:rsidRDefault="00834BB0" w:rsidP="0091792A">
      <w:pPr>
        <w:ind w:firstLine="720"/>
        <w:rPr>
          <w:rFonts w:ascii="Times New Roman" w:hAnsi="Times New Roman" w:cs="Times New Roman"/>
          <w:sz w:val="24"/>
          <w:szCs w:val="24"/>
        </w:rPr>
      </w:pPr>
      <w:r>
        <w:rPr>
          <w:rFonts w:ascii="Times New Roman" w:hAnsi="Times New Roman" w:cs="Times New Roman"/>
          <w:sz w:val="24"/>
          <w:szCs w:val="24"/>
        </w:rPr>
        <w:t xml:space="preserve">Science is no exception to the general trend. </w:t>
      </w:r>
      <w:r w:rsidR="00FD15B0">
        <w:rPr>
          <w:rFonts w:ascii="Times New Roman" w:hAnsi="Times New Roman" w:cs="Times New Roman"/>
          <w:sz w:val="24"/>
          <w:szCs w:val="24"/>
        </w:rPr>
        <w:t xml:space="preserve">Figure </w:t>
      </w:r>
      <w:r w:rsidR="0091792A" w:rsidRPr="0091792A">
        <w:rPr>
          <w:rFonts w:ascii="Times New Roman" w:hAnsi="Times New Roman" w:cs="Times New Roman"/>
          <w:sz w:val="24"/>
          <w:szCs w:val="24"/>
          <w:highlight w:val="red"/>
        </w:rPr>
        <w:t>X</w:t>
      </w:r>
      <w:r w:rsidR="00FD15B0">
        <w:rPr>
          <w:rFonts w:ascii="Times New Roman" w:hAnsi="Times New Roman" w:cs="Times New Roman"/>
          <w:sz w:val="24"/>
          <w:szCs w:val="24"/>
        </w:rPr>
        <w:t xml:space="preserve"> shows science performance by school location </w:t>
      </w:r>
      <w:r w:rsidR="0091792A">
        <w:rPr>
          <w:rFonts w:ascii="Times New Roman" w:hAnsi="Times New Roman" w:cs="Times New Roman"/>
          <w:sz w:val="24"/>
          <w:szCs w:val="24"/>
        </w:rPr>
        <w:t xml:space="preserve">in PISA for the following cycles: 2006, 2009, 2012, and 2015, the four in which the </w:t>
      </w:r>
      <w:commentRangeStart w:id="2"/>
      <w:r w:rsidR="0091792A">
        <w:rPr>
          <w:rFonts w:ascii="Times New Roman" w:hAnsi="Times New Roman" w:cs="Times New Roman"/>
          <w:sz w:val="24"/>
          <w:szCs w:val="24"/>
        </w:rPr>
        <w:t>school location variable as it exists today has been included.</w:t>
      </w:r>
      <w:commentRangeEnd w:id="2"/>
      <w:r>
        <w:rPr>
          <w:rStyle w:val="CommentReference"/>
        </w:rPr>
        <w:commentReference w:id="2"/>
      </w:r>
    </w:p>
    <w:p w14:paraId="67308C7F" w14:textId="4C8AD67A" w:rsidR="00834BB0" w:rsidRDefault="00834BB0" w:rsidP="0091792A">
      <w:pPr>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834BB0">
        <w:rPr>
          <w:rFonts w:ascii="Times New Roman" w:hAnsi="Times New Roman" w:cs="Times New Roman"/>
          <w:sz w:val="24"/>
          <w:szCs w:val="24"/>
          <w:highlight w:val="red"/>
        </w:rPr>
        <w:t>X</w:t>
      </w:r>
      <w:r>
        <w:rPr>
          <w:rFonts w:ascii="Times New Roman" w:hAnsi="Times New Roman" w:cs="Times New Roman"/>
          <w:sz w:val="24"/>
          <w:szCs w:val="24"/>
        </w:rPr>
        <w:t>]</w:t>
      </w:r>
    </w:p>
    <w:p w14:paraId="0552E735" w14:textId="55AD5658" w:rsidR="00834BB0" w:rsidRDefault="00834BB0" w:rsidP="003175B7">
      <w:pPr>
        <w:ind w:firstLine="720"/>
        <w:rPr>
          <w:rFonts w:ascii="Times New Roman" w:hAnsi="Times New Roman" w:cs="Times New Roman"/>
          <w:sz w:val="24"/>
          <w:szCs w:val="24"/>
        </w:rPr>
      </w:pPr>
      <w:r>
        <w:rPr>
          <w:rFonts w:ascii="Times New Roman" w:hAnsi="Times New Roman" w:cs="Times New Roman"/>
          <w:sz w:val="24"/>
          <w:szCs w:val="24"/>
        </w:rPr>
        <w:t xml:space="preserve">In 2006, urban students performed better than their non-urban peers in 62% of countries. In 2009, this percentage was 67%, in 2012 it was 62%, and in 2015, urban students performed better than their non-urban peers in 78% </w:t>
      </w:r>
      <w:r w:rsidRPr="00834BB0">
        <w:rPr>
          <w:rFonts w:ascii="Times New Roman" w:hAnsi="Times New Roman" w:cs="Times New Roman"/>
          <w:sz w:val="24"/>
          <w:szCs w:val="24"/>
        </w:rPr>
        <w:t>of</w:t>
      </w:r>
      <w:r>
        <w:rPr>
          <w:rFonts w:ascii="Times New Roman" w:hAnsi="Times New Roman" w:cs="Times New Roman"/>
          <w:sz w:val="24"/>
          <w:szCs w:val="24"/>
        </w:rPr>
        <w:t xml:space="preserve"> countries.</w:t>
      </w:r>
      <w:r w:rsidR="003175B7">
        <w:rPr>
          <w:rFonts w:ascii="Times New Roman" w:hAnsi="Times New Roman" w:cs="Times New Roman"/>
          <w:sz w:val="24"/>
          <w:szCs w:val="24"/>
        </w:rPr>
        <w:t xml:space="preserve"> Across the four cycles, the average score difference between urban and non-urban students was 20 points in favor of the urban students, the equivalent of around half a year of schooling.</w:t>
      </w:r>
    </w:p>
    <w:p w14:paraId="03C4C245" w14:textId="043E6810" w:rsidR="00723260" w:rsidRDefault="00723260" w:rsidP="00723260">
      <w:pPr>
        <w:rPr>
          <w:rFonts w:ascii="Times New Roman" w:hAnsi="Times New Roman" w:cs="Times New Roman"/>
          <w:b/>
          <w:sz w:val="24"/>
          <w:szCs w:val="24"/>
        </w:rPr>
      </w:pPr>
      <w:r>
        <w:rPr>
          <w:rFonts w:ascii="Times New Roman" w:hAnsi="Times New Roman" w:cs="Times New Roman"/>
          <w:b/>
          <w:sz w:val="24"/>
          <w:szCs w:val="24"/>
        </w:rPr>
        <w:lastRenderedPageBreak/>
        <w:t>Urban students generally agree more with statement</w:t>
      </w:r>
      <w:r>
        <w:rPr>
          <w:rFonts w:ascii="Times New Roman" w:hAnsi="Times New Roman" w:cs="Times New Roman"/>
          <w:b/>
          <w:sz w:val="24"/>
          <w:szCs w:val="24"/>
        </w:rPr>
        <w:t>s about scientific epistemology</w:t>
      </w:r>
    </w:p>
    <w:p w14:paraId="350B4F71" w14:textId="5361328A" w:rsidR="003E56BA" w:rsidRPr="003E56BA" w:rsidRDefault="003E56BA" w:rsidP="00906488">
      <w:pPr>
        <w:ind w:firstLine="720"/>
        <w:rPr>
          <w:rFonts w:ascii="Times New Roman" w:hAnsi="Times New Roman" w:cs="Times New Roman"/>
          <w:sz w:val="24"/>
          <w:szCs w:val="24"/>
        </w:rPr>
      </w:pPr>
      <w:r>
        <w:rPr>
          <w:rFonts w:ascii="Times New Roman" w:hAnsi="Times New Roman" w:cs="Times New Roman"/>
          <w:sz w:val="24"/>
          <w:szCs w:val="24"/>
        </w:rPr>
        <w:t>Beliefs about scientific epistemology are collected by students’ responses on a four-point Likert scale to six statements about scientific epistemology.</w:t>
      </w:r>
      <w:r w:rsidR="00906488">
        <w:rPr>
          <w:rFonts w:ascii="Times New Roman" w:hAnsi="Times New Roman" w:cs="Times New Roman"/>
          <w:sz w:val="24"/>
          <w:szCs w:val="24"/>
        </w:rPr>
        <w:t xml:space="preserve"> The six statements are the following: (1) a good way to know if something is true is to do an experiment, (2) ideas in science sometimes change, (3) good answers are based on evidence from many different experiments, (4) it is good to try experiments more than once to make sure of your findings, (5), sometimes scientists change their minds about what is true in science, and (6) the ideas in science books sometimes change.</w:t>
      </w:r>
      <w:r>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3BD4FC1C" w14:textId="7B88CC29" w:rsidR="003175B7" w:rsidRDefault="003175B7" w:rsidP="003175B7">
      <w:pPr>
        <w:rPr>
          <w:rFonts w:ascii="Times New Roman" w:hAnsi="Times New Roman" w:cs="Times New Roman"/>
          <w:b/>
          <w:sz w:val="24"/>
          <w:szCs w:val="24"/>
        </w:rPr>
      </w:pPr>
      <w:r w:rsidRPr="00434D32">
        <w:rPr>
          <w:rFonts w:ascii="Times New Roman" w:hAnsi="Times New Roman" w:cs="Times New Roman"/>
          <w:b/>
          <w:sz w:val="24"/>
          <w:szCs w:val="24"/>
        </w:rPr>
        <w:t xml:space="preserve">Urban </w:t>
      </w:r>
      <w:r>
        <w:rPr>
          <w:rFonts w:ascii="Times New Roman" w:hAnsi="Times New Roman" w:cs="Times New Roman"/>
          <w:b/>
          <w:sz w:val="24"/>
          <w:szCs w:val="24"/>
        </w:rPr>
        <w:t xml:space="preserve">students are more familiar </w:t>
      </w:r>
      <w:r w:rsidR="00723260">
        <w:rPr>
          <w:rFonts w:ascii="Times New Roman" w:hAnsi="Times New Roman" w:cs="Times New Roman"/>
          <w:b/>
          <w:sz w:val="24"/>
          <w:szCs w:val="24"/>
        </w:rPr>
        <w:t>with</w:t>
      </w:r>
      <w:r>
        <w:rPr>
          <w:rFonts w:ascii="Times New Roman" w:hAnsi="Times New Roman" w:cs="Times New Roman"/>
          <w:b/>
          <w:sz w:val="24"/>
          <w:szCs w:val="24"/>
        </w:rPr>
        <w:t xml:space="preserve"> environmental issues</w:t>
      </w:r>
    </w:p>
    <w:p w14:paraId="7D902C5E" w14:textId="2213C490" w:rsidR="00723260" w:rsidRDefault="00723260" w:rsidP="00723260">
      <w:pPr>
        <w:ind w:firstLine="720"/>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w:t>
      </w:r>
      <w:r>
        <w:rPr>
          <w:rFonts w:ascii="Times New Roman" w:hAnsi="Times New Roman" w:cs="Times New Roman"/>
          <w:sz w:val="24"/>
          <w:szCs w:val="24"/>
        </w:rPr>
        <w:t xml:space="preserve">(1) </w:t>
      </w:r>
      <w:r>
        <w:rPr>
          <w:rFonts w:ascii="Times New Roman" w:hAnsi="Times New Roman" w:cs="Times New Roman"/>
          <w:sz w:val="24"/>
          <w:szCs w:val="24"/>
        </w:rPr>
        <w:t xml:space="preserve">the increase of greenhouse gases in the atmosphere, </w:t>
      </w:r>
      <w:r>
        <w:rPr>
          <w:rFonts w:ascii="Times New Roman" w:hAnsi="Times New Roman" w:cs="Times New Roman"/>
          <w:sz w:val="24"/>
          <w:szCs w:val="24"/>
        </w:rPr>
        <w:t xml:space="preserve">(2) </w:t>
      </w:r>
      <w:r>
        <w:rPr>
          <w:rFonts w:ascii="Times New Roman" w:hAnsi="Times New Roman" w:cs="Times New Roman"/>
          <w:sz w:val="24"/>
          <w:szCs w:val="24"/>
        </w:rPr>
        <w:t xml:space="preserve">the use of genetically modified organisms, </w:t>
      </w:r>
      <w:r>
        <w:rPr>
          <w:rFonts w:ascii="Times New Roman" w:hAnsi="Times New Roman" w:cs="Times New Roman"/>
          <w:sz w:val="24"/>
          <w:szCs w:val="24"/>
        </w:rPr>
        <w:t xml:space="preserve">(3) </w:t>
      </w:r>
      <w:r>
        <w:rPr>
          <w:rFonts w:ascii="Times New Roman" w:hAnsi="Times New Roman" w:cs="Times New Roman"/>
          <w:sz w:val="24"/>
          <w:szCs w:val="24"/>
        </w:rPr>
        <w:t xml:space="preserve">nuclear waste, </w:t>
      </w:r>
      <w:r>
        <w:rPr>
          <w:rFonts w:ascii="Times New Roman" w:hAnsi="Times New Roman" w:cs="Times New Roman"/>
          <w:sz w:val="24"/>
          <w:szCs w:val="24"/>
        </w:rPr>
        <w:t xml:space="preserve">(4) </w:t>
      </w:r>
      <w:r>
        <w:rPr>
          <w:rFonts w:ascii="Times New Roman" w:hAnsi="Times New Roman" w:cs="Times New Roman"/>
          <w:sz w:val="24"/>
          <w:szCs w:val="24"/>
        </w:rPr>
        <w:t xml:space="preserve">the consequences of clearing forests for other land use, </w:t>
      </w:r>
      <w:r>
        <w:rPr>
          <w:rFonts w:ascii="Times New Roman" w:hAnsi="Times New Roman" w:cs="Times New Roman"/>
          <w:sz w:val="24"/>
          <w:szCs w:val="24"/>
        </w:rPr>
        <w:t xml:space="preserve">(5) </w:t>
      </w:r>
      <w:r>
        <w:rPr>
          <w:rFonts w:ascii="Times New Roman" w:hAnsi="Times New Roman" w:cs="Times New Roman"/>
          <w:sz w:val="24"/>
          <w:szCs w:val="24"/>
        </w:rPr>
        <w:t xml:space="preserve">air pollution, </w:t>
      </w:r>
      <w:r>
        <w:rPr>
          <w:rFonts w:ascii="Times New Roman" w:hAnsi="Times New Roman" w:cs="Times New Roman"/>
          <w:sz w:val="24"/>
          <w:szCs w:val="24"/>
        </w:rPr>
        <w:t xml:space="preserve">(6) </w:t>
      </w:r>
      <w:r>
        <w:rPr>
          <w:rFonts w:ascii="Times New Roman" w:hAnsi="Times New Roman" w:cs="Times New Roman"/>
          <w:sz w:val="24"/>
          <w:szCs w:val="24"/>
        </w:rPr>
        <w:t>extinction of plants and animals, and</w:t>
      </w:r>
      <w:r>
        <w:rPr>
          <w:rFonts w:ascii="Times New Roman" w:hAnsi="Times New Roman" w:cs="Times New Roman"/>
          <w:sz w:val="24"/>
          <w:szCs w:val="24"/>
        </w:rPr>
        <w:t xml:space="preserve"> (7) </w:t>
      </w:r>
      <w:r>
        <w:rPr>
          <w:rFonts w:ascii="Times New Roman" w:hAnsi="Times New Roman" w:cs="Times New Roman"/>
          <w:sz w:val="24"/>
          <w:szCs w:val="24"/>
        </w:rPr>
        <w:t xml:space="preserve">water </w:t>
      </w:r>
      <w:r>
        <w:rPr>
          <w:rFonts w:ascii="Times New Roman" w:hAnsi="Times New Roman" w:cs="Times New Roman"/>
          <w:sz w:val="24"/>
          <w:szCs w:val="24"/>
        </w:rPr>
        <w:t>shortages.</w:t>
      </w:r>
    </w:p>
    <w:p w14:paraId="26AFFE53" w14:textId="77777777" w:rsidR="00723260" w:rsidRDefault="00723260" w:rsidP="00723260">
      <w:pPr>
        <w:ind w:firstLine="720"/>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63355F5F" w14:textId="4A0D2DFD" w:rsidR="00723260" w:rsidRPr="00723260" w:rsidRDefault="00723260" w:rsidP="00723260">
      <w:pPr>
        <w:rPr>
          <w:rFonts w:ascii="Times New Roman" w:hAnsi="Times New Roman" w:cs="Times New Roman"/>
          <w:b/>
          <w:sz w:val="24"/>
          <w:szCs w:val="24"/>
        </w:rPr>
      </w:pPr>
      <w:r>
        <w:rPr>
          <w:rFonts w:ascii="Times New Roman" w:hAnsi="Times New Roman" w:cs="Times New Roman"/>
          <w:b/>
          <w:sz w:val="24"/>
          <w:szCs w:val="24"/>
        </w:rPr>
        <w:t>Urban students are less optimistic about environmental issues, and have gotten [more/less] optimistic over time</w:t>
      </w:r>
    </w:p>
    <w:p w14:paraId="5701DD35" w14:textId="3E69D35A" w:rsidR="00723260" w:rsidRPr="004A61CC" w:rsidRDefault="00723260" w:rsidP="00723260">
      <w:pPr>
        <w:ind w:firstLine="720"/>
        <w:rPr>
          <w:rFonts w:ascii="Times New Roman" w:hAnsi="Times New Roman" w:cs="Times New Roman"/>
          <w:sz w:val="24"/>
          <w:szCs w:val="24"/>
        </w:rPr>
      </w:pPr>
      <w:r>
        <w:rPr>
          <w:rFonts w:ascii="Times New Roman" w:hAnsi="Times New Roman" w:cs="Times New Roman"/>
          <w:sz w:val="24"/>
          <w:szCs w:val="24"/>
        </w:rPr>
        <w:t>In 2015, s</w:t>
      </w:r>
      <w:r w:rsidRPr="00723260">
        <w:rPr>
          <w:rFonts w:ascii="Times New Roman" w:hAnsi="Times New Roman" w:cs="Times New Roman"/>
          <w:sz w:val="24"/>
          <w:szCs w:val="24"/>
        </w:rPr>
        <w:t xml:space="preserve">tudents’ optimism about environmental issues concerns the same seven topics as the awareness question, and students are classified into three groups: whether the students think the issues will </w:t>
      </w:r>
      <w:r w:rsidRPr="00C7122B">
        <w:rPr>
          <w:rFonts w:ascii="Times New Roman" w:hAnsi="Times New Roman" w:cs="Times New Roman"/>
          <w:i/>
          <w:sz w:val="24"/>
          <w:szCs w:val="24"/>
        </w:rPr>
        <w:t>improve</w:t>
      </w:r>
      <w:r w:rsidRPr="00723260">
        <w:rPr>
          <w:rFonts w:ascii="Times New Roman" w:hAnsi="Times New Roman" w:cs="Times New Roman"/>
          <w:sz w:val="24"/>
          <w:szCs w:val="24"/>
        </w:rPr>
        <w:t xml:space="preserve">, </w:t>
      </w:r>
      <w:r w:rsidRPr="00C7122B">
        <w:rPr>
          <w:rFonts w:ascii="Times New Roman" w:hAnsi="Times New Roman" w:cs="Times New Roman"/>
          <w:i/>
          <w:sz w:val="24"/>
          <w:szCs w:val="24"/>
        </w:rPr>
        <w:t>stay about the same</w:t>
      </w:r>
      <w:r w:rsidRPr="00723260">
        <w:rPr>
          <w:rFonts w:ascii="Times New Roman" w:hAnsi="Times New Roman" w:cs="Times New Roman"/>
          <w:sz w:val="24"/>
          <w:szCs w:val="24"/>
        </w:rPr>
        <w:t xml:space="preserve">, or </w:t>
      </w:r>
      <w:r w:rsidRPr="00C7122B">
        <w:rPr>
          <w:rFonts w:ascii="Times New Roman" w:hAnsi="Times New Roman" w:cs="Times New Roman"/>
          <w:i/>
          <w:sz w:val="24"/>
          <w:szCs w:val="24"/>
        </w:rPr>
        <w:t>get worse</w:t>
      </w:r>
      <w:r w:rsidRPr="00723260">
        <w:rPr>
          <w:rFonts w:ascii="Times New Roman" w:hAnsi="Times New Roman" w:cs="Times New Roman"/>
          <w:sz w:val="24"/>
          <w:szCs w:val="24"/>
        </w:rPr>
        <w:t>. For binary analyses, the response improve is coded as “optimism” and get worse and stay about the same are considered as “less optimistic” responses.</w:t>
      </w:r>
      <w:r>
        <w:rPr>
          <w:rFonts w:ascii="Times New Roman" w:hAnsi="Times New Roman" w:cs="Times New Roman"/>
          <w:sz w:val="24"/>
          <w:szCs w:val="24"/>
        </w:rPr>
        <w:t xml:space="preserve"> Though the responses to the questions are the same in the question posed in the 2006 cycle of PISA, the issues are slightly different. The list of issues posed in 2006 is: (1) </w:t>
      </w:r>
      <w:r w:rsidRPr="004A61CC">
        <w:rPr>
          <w:rFonts w:ascii="Times New Roman" w:hAnsi="Times New Roman" w:cs="Times New Roman"/>
          <w:sz w:val="24"/>
          <w:szCs w:val="24"/>
        </w:rPr>
        <w:t xml:space="preserve">air pollution, (2) </w:t>
      </w:r>
      <w:r w:rsidR="004E3FB9" w:rsidRPr="004A61CC">
        <w:rPr>
          <w:rFonts w:ascii="Times New Roman" w:hAnsi="Times New Roman" w:cs="Times New Roman"/>
          <w:sz w:val="24"/>
          <w:szCs w:val="24"/>
        </w:rPr>
        <w:t>energy shortages, (3) extinction of plants and animals, (4) clearing of forests for other land use, (5) water shortages, and (6) nuclear waste.</w:t>
      </w:r>
      <w:r w:rsidR="004A61CC" w:rsidRPr="004A61CC">
        <w:rPr>
          <w:rFonts w:ascii="Times New Roman" w:hAnsi="Times New Roman" w:cs="Times New Roman"/>
          <w:sz w:val="24"/>
          <w:szCs w:val="24"/>
        </w:rPr>
        <w:t xml:space="preserve"> </w:t>
      </w:r>
      <w:r w:rsidR="004A61CC">
        <w:rPr>
          <w:rFonts w:ascii="Times New Roman" w:hAnsi="Times New Roman" w:cs="Times New Roman"/>
          <w:sz w:val="24"/>
          <w:szCs w:val="24"/>
        </w:rPr>
        <w:t xml:space="preserve">I consider air pollution, the extinction of plants and animals, the clearing of forests for other land use, water shortages, and nuclear waste to be comparable across years. </w:t>
      </w:r>
      <w:r w:rsidR="004A61CC" w:rsidRPr="004A61CC">
        <w:rPr>
          <w:rFonts w:ascii="Times New Roman" w:hAnsi="Times New Roman" w:cs="Times New Roman"/>
          <w:sz w:val="24"/>
          <w:szCs w:val="24"/>
        </w:rPr>
        <w:t xml:space="preserve">Table </w:t>
      </w:r>
      <w:r w:rsidR="004A61CC" w:rsidRPr="004A61CC">
        <w:rPr>
          <w:rFonts w:ascii="Times New Roman" w:hAnsi="Times New Roman" w:cs="Times New Roman"/>
          <w:sz w:val="24"/>
          <w:szCs w:val="24"/>
          <w:highlight w:val="red"/>
        </w:rPr>
        <w:t>X</w:t>
      </w:r>
      <w:r w:rsidR="004A61CC" w:rsidRPr="004A61CC">
        <w:rPr>
          <w:rFonts w:ascii="Times New Roman" w:hAnsi="Times New Roman" w:cs="Times New Roman"/>
          <w:sz w:val="24"/>
          <w:szCs w:val="24"/>
        </w:rPr>
        <w:t xml:space="preserve"> below summarizes these differences.</w:t>
      </w:r>
    </w:p>
    <w:tbl>
      <w:tblPr>
        <w:tblStyle w:val="TableGrid"/>
        <w:tblW w:w="0" w:type="auto"/>
        <w:tblLook w:val="04A0" w:firstRow="1" w:lastRow="0" w:firstColumn="1" w:lastColumn="0" w:noHBand="0" w:noVBand="1"/>
      </w:tblPr>
      <w:tblGrid>
        <w:gridCol w:w="4675"/>
        <w:gridCol w:w="4675"/>
      </w:tblGrid>
      <w:tr w:rsidR="004A61CC" w:rsidRPr="004A61CC" w14:paraId="5A1BCCDB" w14:textId="77777777" w:rsidTr="004A61CC">
        <w:tc>
          <w:tcPr>
            <w:tcW w:w="4675" w:type="dxa"/>
          </w:tcPr>
          <w:p w14:paraId="47DE6E23" w14:textId="6D9048B4" w:rsidR="004A61CC" w:rsidRPr="004A61CC" w:rsidRDefault="004A61CC" w:rsidP="004A61CC">
            <w:pPr>
              <w:jc w:val="center"/>
              <w:rPr>
                <w:rFonts w:ascii="Times New Roman" w:hAnsi="Times New Roman" w:cs="Times New Roman"/>
                <w:sz w:val="24"/>
                <w:szCs w:val="24"/>
              </w:rPr>
            </w:pPr>
            <w:r>
              <w:rPr>
                <w:rFonts w:ascii="Times New Roman" w:hAnsi="Times New Roman" w:cs="Times New Roman"/>
                <w:sz w:val="24"/>
                <w:szCs w:val="24"/>
              </w:rPr>
              <w:t xml:space="preserve">PISA </w:t>
            </w:r>
            <w:r w:rsidRPr="004A61CC">
              <w:rPr>
                <w:rFonts w:ascii="Times New Roman" w:hAnsi="Times New Roman" w:cs="Times New Roman"/>
                <w:sz w:val="24"/>
                <w:szCs w:val="24"/>
              </w:rPr>
              <w:t>2006</w:t>
            </w:r>
          </w:p>
        </w:tc>
        <w:tc>
          <w:tcPr>
            <w:tcW w:w="4675" w:type="dxa"/>
          </w:tcPr>
          <w:p w14:paraId="3B34227C" w14:textId="534212C2" w:rsidR="004A61CC" w:rsidRPr="004A61CC" w:rsidRDefault="004A61CC" w:rsidP="004A61CC">
            <w:pPr>
              <w:jc w:val="center"/>
              <w:rPr>
                <w:rFonts w:ascii="Times New Roman" w:hAnsi="Times New Roman" w:cs="Times New Roman"/>
                <w:sz w:val="24"/>
                <w:szCs w:val="24"/>
              </w:rPr>
            </w:pPr>
            <w:r>
              <w:rPr>
                <w:rFonts w:ascii="Times New Roman" w:hAnsi="Times New Roman" w:cs="Times New Roman"/>
                <w:sz w:val="24"/>
                <w:szCs w:val="24"/>
              </w:rPr>
              <w:t xml:space="preserve">PISA </w:t>
            </w:r>
            <w:r w:rsidRPr="004A61CC">
              <w:rPr>
                <w:rFonts w:ascii="Times New Roman" w:hAnsi="Times New Roman" w:cs="Times New Roman"/>
                <w:sz w:val="24"/>
                <w:szCs w:val="24"/>
              </w:rPr>
              <w:t>2015</w:t>
            </w:r>
          </w:p>
        </w:tc>
      </w:tr>
      <w:tr w:rsidR="004A61CC" w:rsidRPr="004A61CC" w14:paraId="338F1AEE" w14:textId="77777777" w:rsidTr="004A61CC">
        <w:tc>
          <w:tcPr>
            <w:tcW w:w="4675" w:type="dxa"/>
          </w:tcPr>
          <w:p w14:paraId="778ED748" w14:textId="23F74B68" w:rsidR="004A61CC" w:rsidRPr="004A61CC" w:rsidRDefault="004A61CC" w:rsidP="004A61CC">
            <w:pPr>
              <w:rPr>
                <w:rFonts w:ascii="Times New Roman" w:hAnsi="Times New Roman" w:cs="Times New Roman"/>
                <w:sz w:val="24"/>
                <w:szCs w:val="24"/>
              </w:rPr>
            </w:pPr>
            <w:r w:rsidRPr="004A61CC">
              <w:rPr>
                <w:rFonts w:ascii="Times New Roman" w:hAnsi="Times New Roman" w:cs="Times New Roman"/>
                <w:sz w:val="24"/>
                <w:szCs w:val="24"/>
              </w:rPr>
              <w:t>Air pollution</w:t>
            </w:r>
          </w:p>
        </w:tc>
        <w:tc>
          <w:tcPr>
            <w:tcW w:w="4675" w:type="dxa"/>
          </w:tcPr>
          <w:p w14:paraId="3DE5CA4F" w14:textId="3BF980E1"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Air pollution</w:t>
            </w:r>
          </w:p>
        </w:tc>
      </w:tr>
      <w:tr w:rsidR="004A61CC" w:rsidRPr="004A61CC" w14:paraId="66A20905" w14:textId="77777777" w:rsidTr="004A61CC">
        <w:tc>
          <w:tcPr>
            <w:tcW w:w="4675" w:type="dxa"/>
          </w:tcPr>
          <w:p w14:paraId="353630B1" w14:textId="6FB5AFDD"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Extinction of plants and animals</w:t>
            </w:r>
          </w:p>
        </w:tc>
        <w:tc>
          <w:tcPr>
            <w:tcW w:w="4675" w:type="dxa"/>
          </w:tcPr>
          <w:p w14:paraId="7AF6BC48" w14:textId="24BA2D59"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Extinction of plants and animals</w:t>
            </w:r>
          </w:p>
        </w:tc>
      </w:tr>
      <w:tr w:rsidR="004A61CC" w:rsidRPr="004A61CC" w14:paraId="59DA3132" w14:textId="77777777" w:rsidTr="004A61CC">
        <w:tc>
          <w:tcPr>
            <w:tcW w:w="4675" w:type="dxa"/>
          </w:tcPr>
          <w:p w14:paraId="7140F030" w14:textId="2828AFFE"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Clearing of forests for other land use</w:t>
            </w:r>
          </w:p>
        </w:tc>
        <w:tc>
          <w:tcPr>
            <w:tcW w:w="4675" w:type="dxa"/>
          </w:tcPr>
          <w:p w14:paraId="634B4670" w14:textId="6DD1FD92"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The consequences of clearing forests for other land use</w:t>
            </w:r>
          </w:p>
        </w:tc>
      </w:tr>
      <w:tr w:rsidR="004A61CC" w:rsidRPr="004A61CC" w14:paraId="05969EA6" w14:textId="77777777" w:rsidTr="004A61CC">
        <w:tc>
          <w:tcPr>
            <w:tcW w:w="4675" w:type="dxa"/>
          </w:tcPr>
          <w:p w14:paraId="229E2455" w14:textId="3BF45CBE"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Water shortages</w:t>
            </w:r>
          </w:p>
        </w:tc>
        <w:tc>
          <w:tcPr>
            <w:tcW w:w="4675" w:type="dxa"/>
          </w:tcPr>
          <w:p w14:paraId="27E48A33" w14:textId="156A6D3A"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Water shortage</w:t>
            </w:r>
          </w:p>
        </w:tc>
      </w:tr>
      <w:tr w:rsidR="004A61CC" w:rsidRPr="004A61CC" w14:paraId="690698EC" w14:textId="77777777" w:rsidTr="004A61CC">
        <w:tc>
          <w:tcPr>
            <w:tcW w:w="4675" w:type="dxa"/>
          </w:tcPr>
          <w:p w14:paraId="7E50EACB" w14:textId="2896CB14"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Nuclear waste</w:t>
            </w:r>
          </w:p>
        </w:tc>
        <w:tc>
          <w:tcPr>
            <w:tcW w:w="4675" w:type="dxa"/>
          </w:tcPr>
          <w:p w14:paraId="014C5933" w14:textId="2BF9AEF8"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Nuclear waste</w:t>
            </w:r>
          </w:p>
        </w:tc>
      </w:tr>
      <w:tr w:rsidR="004A61CC" w:rsidRPr="004A61CC" w14:paraId="29A0544C" w14:textId="77777777" w:rsidTr="004A61CC">
        <w:tc>
          <w:tcPr>
            <w:tcW w:w="4675" w:type="dxa"/>
          </w:tcPr>
          <w:p w14:paraId="0DD9A299" w14:textId="2EF9C0E5" w:rsidR="004A61CC" w:rsidRDefault="004A61CC" w:rsidP="004A61CC">
            <w:pPr>
              <w:rPr>
                <w:rFonts w:ascii="Times New Roman" w:hAnsi="Times New Roman" w:cs="Times New Roman"/>
                <w:sz w:val="24"/>
                <w:szCs w:val="24"/>
              </w:rPr>
            </w:pPr>
            <w:r w:rsidRPr="004A61CC">
              <w:rPr>
                <w:rFonts w:ascii="Times New Roman" w:hAnsi="Times New Roman" w:cs="Times New Roman"/>
                <w:sz w:val="24"/>
                <w:szCs w:val="24"/>
              </w:rPr>
              <w:t>Energy shortages</w:t>
            </w:r>
          </w:p>
        </w:tc>
        <w:tc>
          <w:tcPr>
            <w:tcW w:w="4675" w:type="dxa"/>
          </w:tcPr>
          <w:p w14:paraId="713F6F5E" w14:textId="77777777" w:rsidR="004A61CC" w:rsidRDefault="004A61CC" w:rsidP="004A61CC">
            <w:pPr>
              <w:rPr>
                <w:rFonts w:ascii="Times New Roman" w:hAnsi="Times New Roman" w:cs="Times New Roman"/>
                <w:sz w:val="24"/>
                <w:szCs w:val="24"/>
              </w:rPr>
            </w:pPr>
          </w:p>
        </w:tc>
      </w:tr>
      <w:tr w:rsidR="004A61CC" w:rsidRPr="004A61CC" w14:paraId="4C1E3A7E" w14:textId="77777777" w:rsidTr="004A61CC">
        <w:tc>
          <w:tcPr>
            <w:tcW w:w="4675" w:type="dxa"/>
          </w:tcPr>
          <w:p w14:paraId="3D2573B2" w14:textId="77777777" w:rsidR="004A61CC" w:rsidRPr="004A61CC" w:rsidRDefault="004A61CC" w:rsidP="004A61CC">
            <w:pPr>
              <w:rPr>
                <w:rFonts w:ascii="Times New Roman" w:hAnsi="Times New Roman" w:cs="Times New Roman"/>
                <w:sz w:val="24"/>
                <w:szCs w:val="24"/>
              </w:rPr>
            </w:pPr>
          </w:p>
        </w:tc>
        <w:tc>
          <w:tcPr>
            <w:tcW w:w="4675" w:type="dxa"/>
          </w:tcPr>
          <w:p w14:paraId="60D4506C" w14:textId="514E33EE"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The increase of greenhouse gases in the atmosphere</w:t>
            </w:r>
          </w:p>
        </w:tc>
      </w:tr>
      <w:tr w:rsidR="004A61CC" w:rsidRPr="004A61CC" w14:paraId="58A1C6A3" w14:textId="77777777" w:rsidTr="004A61CC">
        <w:tc>
          <w:tcPr>
            <w:tcW w:w="4675" w:type="dxa"/>
          </w:tcPr>
          <w:p w14:paraId="4D7F6DD4" w14:textId="77777777" w:rsidR="004A61CC" w:rsidRPr="004A61CC" w:rsidRDefault="004A61CC" w:rsidP="004A61CC">
            <w:pPr>
              <w:rPr>
                <w:rFonts w:ascii="Times New Roman" w:hAnsi="Times New Roman" w:cs="Times New Roman"/>
                <w:sz w:val="24"/>
                <w:szCs w:val="24"/>
              </w:rPr>
            </w:pPr>
          </w:p>
        </w:tc>
        <w:tc>
          <w:tcPr>
            <w:tcW w:w="4675" w:type="dxa"/>
          </w:tcPr>
          <w:p w14:paraId="2CA532FC" w14:textId="402B0DB3"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The use of genetically modified organisms (GMO)</w:t>
            </w:r>
          </w:p>
        </w:tc>
      </w:tr>
    </w:tbl>
    <w:p w14:paraId="19831D3D" w14:textId="77777777" w:rsidR="004A61CC" w:rsidRDefault="004A61CC" w:rsidP="004A61CC"/>
    <w:p w14:paraId="36B586BC" w14:textId="623E4A8A" w:rsidR="006D4A86" w:rsidRDefault="00906488" w:rsidP="006D4A86">
      <w:pPr>
        <w:rPr>
          <w:rFonts w:ascii="Times New Roman" w:hAnsi="Times New Roman" w:cs="Times New Roman"/>
          <w:b/>
          <w:sz w:val="24"/>
          <w:szCs w:val="24"/>
        </w:rPr>
      </w:pPr>
      <w:r>
        <w:rPr>
          <w:rFonts w:ascii="Times New Roman" w:hAnsi="Times New Roman" w:cs="Times New Roman"/>
          <w:b/>
          <w:sz w:val="24"/>
          <w:szCs w:val="24"/>
        </w:rPr>
        <w:t>Conclusion</w:t>
      </w:r>
    </w:p>
    <w:p w14:paraId="6CFEBB67" w14:textId="54D65D62" w:rsidR="006D4A86" w:rsidRPr="004A500B" w:rsidRDefault="006D4A86" w:rsidP="00C7122B">
      <w:pPr>
        <w:ind w:firstLine="720"/>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student performance in science and explores how student awareness of environmental issues, optimism about environmental issues, and approaches to scientific epistemology varies by school location. Preliminary results </w:t>
      </w:r>
      <w:r w:rsidRPr="004A500B">
        <w:rPr>
          <w:rFonts w:ascii="Times New Roman" w:hAnsi="Times New Roman" w:cs="Times New Roman"/>
          <w:sz w:val="24"/>
          <w:szCs w:val="24"/>
        </w:rPr>
        <w:t xml:space="preserve">show that in most countries, </w:t>
      </w:r>
      <w:r>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Pr>
          <w:rFonts w:ascii="Times New Roman" w:hAnsi="Times New Roman" w:cs="Times New Roman"/>
          <w:sz w:val="24"/>
          <w:szCs w:val="24"/>
        </w:rPr>
        <w:t>epistemological questions of science</w:t>
      </w:r>
      <w:r w:rsidR="00C7122B">
        <w:rPr>
          <w:rFonts w:ascii="Times New Roman" w:hAnsi="Times New Roman" w:cs="Times New Roman"/>
          <w:sz w:val="24"/>
          <w:szCs w:val="24"/>
        </w:rPr>
        <w:t>.</w:t>
      </w:r>
    </w:p>
    <w:p w14:paraId="036847D9" w14:textId="77777777" w:rsidR="006D4A86" w:rsidRPr="007A45A6" w:rsidRDefault="006D4A86" w:rsidP="006D4A86">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5298F2D3" w14:textId="77777777" w:rsidR="007E0B42" w:rsidRDefault="00D0260B" w:rsidP="006D4A86">
      <w:pPr>
        <w:rPr>
          <w:rFonts w:ascii="Times New Roman" w:hAnsi="Times New Roman" w:cs="Times New Roman"/>
          <w:sz w:val="24"/>
          <w:szCs w:val="24"/>
        </w:rPr>
      </w:pPr>
      <w:proofErr w:type="spellStart"/>
      <w:r w:rsidRPr="00D0260B">
        <w:rPr>
          <w:rFonts w:ascii="Times New Roman" w:hAnsi="Times New Roman" w:cs="Times New Roman"/>
          <w:sz w:val="24"/>
          <w:szCs w:val="24"/>
        </w:rPr>
        <w:t>Gauchat</w:t>
      </w:r>
      <w:proofErr w:type="spellEnd"/>
      <w:r w:rsidRPr="00D0260B">
        <w:rPr>
          <w:rFonts w:ascii="Times New Roman" w:hAnsi="Times New Roman" w:cs="Times New Roman"/>
          <w:sz w:val="24"/>
          <w:szCs w:val="24"/>
        </w:rPr>
        <w:t>, G. (2012). Politicization of science in the public sphere: A study of public trust in the United States, 1974 to 2010. American sociological review, 77(2), 167-187.</w:t>
      </w:r>
    </w:p>
    <w:p w14:paraId="50A85BD2" w14:textId="77777777" w:rsidR="00404324" w:rsidRDefault="00404324" w:rsidP="006D4A86">
      <w:pPr>
        <w:rPr>
          <w:rFonts w:ascii="Times New Roman" w:hAnsi="Times New Roman" w:cs="Times New Roman"/>
          <w:sz w:val="24"/>
          <w:szCs w:val="24"/>
        </w:rPr>
      </w:pPr>
      <w:r>
        <w:rPr>
          <w:rFonts w:ascii="Times New Roman" w:hAnsi="Times New Roman" w:cs="Times New Roman"/>
          <w:sz w:val="24"/>
          <w:szCs w:val="24"/>
        </w:rPr>
        <w:t>Lynch, K. (1984). Good City F</w:t>
      </w:r>
      <w:r w:rsidRPr="00404324">
        <w:rPr>
          <w:rFonts w:ascii="Times New Roman" w:hAnsi="Times New Roman" w:cs="Times New Roman"/>
          <w:sz w:val="24"/>
          <w:szCs w:val="24"/>
        </w:rPr>
        <w:t>orm. MIT press.</w:t>
      </w:r>
    </w:p>
    <w:p w14:paraId="65D778F4" w14:textId="77777777" w:rsidR="007E0B42" w:rsidRDefault="007E0B42" w:rsidP="006D4A86">
      <w:pPr>
        <w:rPr>
          <w:rFonts w:ascii="Times New Roman" w:hAnsi="Times New Roman" w:cs="Times New Roman"/>
          <w:sz w:val="24"/>
          <w:szCs w:val="24"/>
        </w:rPr>
      </w:pPr>
      <w:r w:rsidRPr="007E0B42">
        <w:rPr>
          <w:rFonts w:ascii="Times New Roman" w:hAnsi="Times New Roman" w:cs="Times New Roman"/>
          <w:sz w:val="24"/>
          <w:szCs w:val="24"/>
        </w:rPr>
        <w:t>McKee, S. C. (2008). Rural voters and the polarization of American presidential elections. PS: Political Science &amp; Politics, 41(1), 101-108.</w:t>
      </w:r>
    </w:p>
    <w:p w14:paraId="1648178A" w14:textId="77777777" w:rsidR="006D4A86" w:rsidRPr="004A500B" w:rsidRDefault="006D4A86" w:rsidP="006D4A86">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p w14:paraId="66BBB603" w14:textId="77777777" w:rsidR="00D0260B" w:rsidRDefault="00D0260B" w:rsidP="00D0260B">
      <w:pPr>
        <w:rPr>
          <w:rFonts w:ascii="Times New Roman" w:hAnsi="Times New Roman" w:cs="Times New Roman"/>
          <w:sz w:val="24"/>
          <w:szCs w:val="24"/>
        </w:rPr>
      </w:pPr>
      <w:r>
        <w:rPr>
          <w:rFonts w:ascii="Times New Roman" w:hAnsi="Times New Roman" w:cs="Times New Roman"/>
          <w:b/>
          <w:sz w:val="24"/>
          <w:szCs w:val="24"/>
        </w:rPr>
        <w:t>Reviewer notes:</w:t>
      </w:r>
    </w:p>
    <w:p w14:paraId="4A4289B9" w14:textId="77777777" w:rsidR="00D0260B" w:rsidRDefault="00D0260B" w:rsidP="00D026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logic/literature led to the determination of the 100,000 person cut-off for urban and rural? These two are often distinguished by access to important amenities such as healthcare, education, basic living infrastructure, and so on. </w:t>
      </w:r>
      <w:r w:rsidRPr="006D4A86">
        <w:rPr>
          <w:rFonts w:ascii="Times New Roman" w:hAnsi="Times New Roman" w:cs="Times New Roman"/>
          <w:sz w:val="24"/>
          <w:szCs w:val="24"/>
        </w:rPr>
        <w:t>Where there any indicators to suggest that this 100,000 cut-point really distinguished rural and urban in terms of the features/quality of living?</w:t>
      </w:r>
    </w:p>
    <w:p w14:paraId="75AA68FA"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Moreover, if this has a clear population correlate, is it expected to be roughly the same across all of these countries?</w:t>
      </w:r>
    </w:p>
    <w:p w14:paraId="258A38CE"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I think there is an implicit value to looking at science performance and epistemology and attitudes, but the argument for looking at these things in unison is not well made in the discussion of the motivation for the study. What can looking at these factors in unison tell us about urban and rural differences in science? How is that of greater value than j</w:t>
      </w:r>
      <w:r>
        <w:rPr>
          <w:rFonts w:ascii="Times New Roman" w:hAnsi="Times New Roman" w:cs="Times New Roman"/>
          <w:sz w:val="24"/>
          <w:szCs w:val="24"/>
        </w:rPr>
        <w:t>ust looking at test performance?</w:t>
      </w:r>
    </w:p>
    <w:p w14:paraId="42B20596"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Another question is how much other identity factors that might correlate with urban and rural might be influencing student response. For instance, do you see clear patterns of differences in affluence/class by rural and urban communities? If so, controlling for some of these other identity factors could be important to your analysis to determine if differences in response might be attributable to other factors than the rural-urban divide.</w:t>
      </w:r>
    </w:p>
    <w:p w14:paraId="428D21A9"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lastRenderedPageBreak/>
        <w:t>The other thing I would want to know about is any limitations or concerns with the PISA data or indicators for investigating these issues.</w:t>
      </w:r>
    </w:p>
    <w:p w14:paraId="3B5125E3" w14:textId="77777777" w:rsidR="00D0260B" w:rsidRPr="00F4245E" w:rsidRDefault="00D0260B" w:rsidP="00D026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6D4A86">
        <w:rPr>
          <w:rFonts w:ascii="Times New Roman" w:hAnsi="Times New Roman" w:cs="Times New Roman"/>
          <w:sz w:val="24"/>
          <w:szCs w:val="24"/>
        </w:rPr>
        <w:t xml:space="preserve">t was not entirely clear if you want to show that there are differences in </w:t>
      </w:r>
      <w:proofErr w:type="gramStart"/>
      <w:r w:rsidRPr="006D4A86">
        <w:rPr>
          <w:rFonts w:ascii="Times New Roman" w:hAnsi="Times New Roman" w:cs="Times New Roman"/>
          <w:sz w:val="24"/>
          <w:szCs w:val="24"/>
        </w:rPr>
        <w:t>students</w:t>
      </w:r>
      <w:proofErr w:type="gramEnd"/>
      <w:r w:rsidRPr="006D4A86">
        <w:rPr>
          <w:rFonts w:ascii="Times New Roman" w:hAnsi="Times New Roman" w:cs="Times New Roman"/>
          <w:sz w:val="24"/>
          <w:szCs w:val="24"/>
        </w:rPr>
        <w:t xml:space="preserve"> perceptions despite differences in learning. In other words, I do not know if you want to show that there urban students still lack of correct knowledge regarding environmental issues despite of their schooling presuming to be better than in rural settings. I think that part is confusing because although you mention controls and/or analysis of school performance, it is not clear how you will control if that is the case.</w:t>
      </w:r>
    </w:p>
    <w:p w14:paraId="332758F9" w14:textId="77777777" w:rsidR="006D4A86" w:rsidRPr="00465B6E" w:rsidRDefault="006D4A86" w:rsidP="00465B6E">
      <w:pPr>
        <w:spacing w:line="240" w:lineRule="auto"/>
        <w:jc w:val="both"/>
        <w:rPr>
          <w:rFonts w:ascii="Times New Roman" w:hAnsi="Times New Roman" w:cs="Times New Roman"/>
          <w:sz w:val="24"/>
          <w:szCs w:val="24"/>
        </w:rPr>
      </w:pPr>
    </w:p>
    <w:sectPr w:rsidR="006D4A86" w:rsidRPr="00465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ez, Julian" w:date="2017-12-15T13:34:00Z" w:initials="GJ">
    <w:p w14:paraId="01216F39" w14:textId="77777777" w:rsidR="00FD15B0" w:rsidRDefault="00FD15B0">
      <w:pPr>
        <w:pStyle w:val="CommentText"/>
      </w:pPr>
      <w:r>
        <w:rPr>
          <w:rStyle w:val="CommentReference"/>
        </w:rPr>
        <w:annotationRef/>
      </w:r>
      <w:r>
        <w:t>Need to paraphrase</w:t>
      </w:r>
    </w:p>
  </w:comment>
  <w:comment w:id="2" w:author="Gerez, Julian" w:date="2017-12-15T13:49:00Z" w:initials="GJ">
    <w:p w14:paraId="70225091" w14:textId="2EA548B2" w:rsidR="00834BB0" w:rsidRDefault="00834BB0">
      <w:pPr>
        <w:pStyle w:val="CommentText"/>
      </w:pPr>
      <w:r>
        <w:rPr>
          <w:rStyle w:val="CommentReference"/>
        </w:rPr>
        <w:annotationRef/>
      </w:r>
      <w:r>
        <w:t>Rephrase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16F39" w15:done="0"/>
  <w15:commentEx w15:paraId="70225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297B2" w14:textId="77777777" w:rsidR="00871517" w:rsidRDefault="00871517" w:rsidP="00871517">
      <w:pPr>
        <w:spacing w:after="0" w:line="240" w:lineRule="auto"/>
      </w:pPr>
      <w:r>
        <w:separator/>
      </w:r>
    </w:p>
  </w:endnote>
  <w:endnote w:type="continuationSeparator" w:id="0">
    <w:p w14:paraId="20ECB571" w14:textId="77777777" w:rsidR="00871517" w:rsidRDefault="00871517" w:rsidP="0087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C9E7E" w14:textId="77777777" w:rsidR="00871517" w:rsidRDefault="00871517" w:rsidP="00871517">
      <w:pPr>
        <w:spacing w:after="0" w:line="240" w:lineRule="auto"/>
      </w:pPr>
      <w:r>
        <w:separator/>
      </w:r>
    </w:p>
  </w:footnote>
  <w:footnote w:type="continuationSeparator" w:id="0">
    <w:p w14:paraId="4B8A9730" w14:textId="77777777" w:rsidR="00871517" w:rsidRDefault="00871517" w:rsidP="00871517">
      <w:pPr>
        <w:spacing w:after="0" w:line="240" w:lineRule="auto"/>
      </w:pPr>
      <w:r>
        <w:continuationSeparator/>
      </w:r>
    </w:p>
  </w:footnote>
  <w:footnote w:id="1">
    <w:p w14:paraId="412C833C" w14:textId="77777777" w:rsidR="00871517" w:rsidRPr="00871517" w:rsidRDefault="00871517">
      <w:pPr>
        <w:pStyle w:val="FootnoteText"/>
        <w:rPr>
          <w:rFonts w:ascii="Times New Roman" w:hAnsi="Times New Roman" w:cs="Times New Roman"/>
        </w:rPr>
      </w:pPr>
      <w:r w:rsidRPr="00871517">
        <w:rPr>
          <w:rStyle w:val="FootnoteReference"/>
          <w:rFonts w:ascii="Times New Roman" w:hAnsi="Times New Roman" w:cs="Times New Roman"/>
        </w:rPr>
        <w:footnoteRef/>
      </w:r>
      <w:r w:rsidRPr="00871517">
        <w:rPr>
          <w:rFonts w:ascii="Times New Roman" w:hAnsi="Times New Roman" w:cs="Times New Roman"/>
        </w:rPr>
        <w:t xml:space="preserve"> Urban students performed significantly worse in 2015 and 2006. There was no difference between the performance of urban or rural students in 2012 or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24076"/>
    <w:multiLevelType w:val="hybridMultilevel"/>
    <w:tmpl w:val="3DC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61FEC"/>
    <w:multiLevelType w:val="hybridMultilevel"/>
    <w:tmpl w:val="C636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ez, Julian">
    <w15:presenceInfo w15:providerId="AD" w15:userId="S-1-5-21-1472932569-214068005-926709054-77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6E"/>
    <w:rsid w:val="00017CEC"/>
    <w:rsid w:val="000760A1"/>
    <w:rsid w:val="000B426E"/>
    <w:rsid w:val="0017234D"/>
    <w:rsid w:val="002307A4"/>
    <w:rsid w:val="003175B7"/>
    <w:rsid w:val="003E56BA"/>
    <w:rsid w:val="00404324"/>
    <w:rsid w:val="00434D32"/>
    <w:rsid w:val="00465B6E"/>
    <w:rsid w:val="004A61CC"/>
    <w:rsid w:val="004E3FB9"/>
    <w:rsid w:val="00643A7F"/>
    <w:rsid w:val="006D4A86"/>
    <w:rsid w:val="00723260"/>
    <w:rsid w:val="007E0B42"/>
    <w:rsid w:val="00834BB0"/>
    <w:rsid w:val="00871517"/>
    <w:rsid w:val="008E2119"/>
    <w:rsid w:val="00906488"/>
    <w:rsid w:val="0091792A"/>
    <w:rsid w:val="0097721E"/>
    <w:rsid w:val="00A27697"/>
    <w:rsid w:val="00AF5E4B"/>
    <w:rsid w:val="00C7122B"/>
    <w:rsid w:val="00D0260B"/>
    <w:rsid w:val="00DE4CA6"/>
    <w:rsid w:val="00E66950"/>
    <w:rsid w:val="00EC7387"/>
    <w:rsid w:val="00F4245E"/>
    <w:rsid w:val="00F8494F"/>
    <w:rsid w:val="00FD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14E8"/>
  <w15:chartTrackingRefBased/>
  <w15:docId w15:val="{1D171C12-0022-42A0-A057-FA8C335D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86"/>
    <w:pPr>
      <w:ind w:left="720"/>
      <w:contextualSpacing/>
    </w:pPr>
  </w:style>
  <w:style w:type="paragraph" w:styleId="FootnoteText">
    <w:name w:val="footnote text"/>
    <w:basedOn w:val="Normal"/>
    <w:link w:val="FootnoteTextChar"/>
    <w:uiPriority w:val="99"/>
    <w:semiHidden/>
    <w:unhideWhenUsed/>
    <w:rsid w:val="00871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517"/>
    <w:rPr>
      <w:sz w:val="20"/>
      <w:szCs w:val="20"/>
    </w:rPr>
  </w:style>
  <w:style w:type="character" w:styleId="FootnoteReference">
    <w:name w:val="footnote reference"/>
    <w:basedOn w:val="DefaultParagraphFont"/>
    <w:uiPriority w:val="99"/>
    <w:semiHidden/>
    <w:unhideWhenUsed/>
    <w:rsid w:val="00871517"/>
    <w:rPr>
      <w:vertAlign w:val="superscript"/>
    </w:rPr>
  </w:style>
  <w:style w:type="character" w:styleId="CommentReference">
    <w:name w:val="annotation reference"/>
    <w:basedOn w:val="DefaultParagraphFont"/>
    <w:uiPriority w:val="99"/>
    <w:semiHidden/>
    <w:unhideWhenUsed/>
    <w:rsid w:val="00FD15B0"/>
    <w:rPr>
      <w:sz w:val="16"/>
      <w:szCs w:val="16"/>
    </w:rPr>
  </w:style>
  <w:style w:type="paragraph" w:styleId="CommentText">
    <w:name w:val="annotation text"/>
    <w:basedOn w:val="Normal"/>
    <w:link w:val="CommentTextChar"/>
    <w:uiPriority w:val="99"/>
    <w:semiHidden/>
    <w:unhideWhenUsed/>
    <w:rsid w:val="00FD15B0"/>
    <w:pPr>
      <w:spacing w:line="240" w:lineRule="auto"/>
    </w:pPr>
    <w:rPr>
      <w:sz w:val="20"/>
      <w:szCs w:val="20"/>
    </w:rPr>
  </w:style>
  <w:style w:type="character" w:customStyle="1" w:styleId="CommentTextChar">
    <w:name w:val="Comment Text Char"/>
    <w:basedOn w:val="DefaultParagraphFont"/>
    <w:link w:val="CommentText"/>
    <w:uiPriority w:val="99"/>
    <w:semiHidden/>
    <w:rsid w:val="00FD15B0"/>
    <w:rPr>
      <w:sz w:val="20"/>
      <w:szCs w:val="20"/>
    </w:rPr>
  </w:style>
  <w:style w:type="paragraph" w:styleId="CommentSubject">
    <w:name w:val="annotation subject"/>
    <w:basedOn w:val="CommentText"/>
    <w:next w:val="CommentText"/>
    <w:link w:val="CommentSubjectChar"/>
    <w:uiPriority w:val="99"/>
    <w:semiHidden/>
    <w:unhideWhenUsed/>
    <w:rsid w:val="00FD15B0"/>
    <w:rPr>
      <w:b/>
      <w:bCs/>
    </w:rPr>
  </w:style>
  <w:style w:type="character" w:customStyle="1" w:styleId="CommentSubjectChar">
    <w:name w:val="Comment Subject Char"/>
    <w:basedOn w:val="CommentTextChar"/>
    <w:link w:val="CommentSubject"/>
    <w:uiPriority w:val="99"/>
    <w:semiHidden/>
    <w:rsid w:val="00FD15B0"/>
    <w:rPr>
      <w:b/>
      <w:bCs/>
      <w:sz w:val="20"/>
      <w:szCs w:val="20"/>
    </w:rPr>
  </w:style>
  <w:style w:type="paragraph" w:styleId="BalloonText">
    <w:name w:val="Balloon Text"/>
    <w:basedOn w:val="Normal"/>
    <w:link w:val="BalloonTextChar"/>
    <w:uiPriority w:val="99"/>
    <w:semiHidden/>
    <w:unhideWhenUsed/>
    <w:rsid w:val="00FD1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5B0"/>
    <w:rPr>
      <w:rFonts w:ascii="Segoe UI" w:hAnsi="Segoe UI" w:cs="Segoe UI"/>
      <w:sz w:val="18"/>
      <w:szCs w:val="18"/>
    </w:rPr>
  </w:style>
  <w:style w:type="table" w:styleId="TableGrid">
    <w:name w:val="Table Grid"/>
    <w:basedOn w:val="TableNormal"/>
    <w:uiPriority w:val="39"/>
    <w:rsid w:val="004A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ADD7-074E-46DD-A235-8746FCB2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15</cp:revision>
  <dcterms:created xsi:type="dcterms:W3CDTF">2017-12-13T17:22:00Z</dcterms:created>
  <dcterms:modified xsi:type="dcterms:W3CDTF">2017-12-15T21:23:00Z</dcterms:modified>
</cp:coreProperties>
</file>