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B9CA0" w14:textId="77777777" w:rsidR="00E35F91" w:rsidRPr="00451694" w:rsidRDefault="00E35F91">
      <w:r w:rsidRPr="00451694">
        <w:rPr>
          <w:b/>
        </w:rPr>
        <w:t>Title</w:t>
      </w:r>
    </w:p>
    <w:p w14:paraId="3F7465AA" w14:textId="77777777" w:rsidR="00E35F91" w:rsidRPr="00451694" w:rsidRDefault="00E35F91" w:rsidP="00E35F91">
      <w:pPr>
        <w:spacing w:after="0" w:line="252" w:lineRule="auto"/>
        <w:rPr>
          <w:i/>
        </w:rPr>
      </w:pPr>
      <w:r w:rsidRPr="00451694">
        <w:rPr>
          <w:i/>
        </w:rPr>
        <w:t>Authors</w:t>
      </w:r>
    </w:p>
    <w:p w14:paraId="4484312F" w14:textId="2E0030DB" w:rsidR="00E35F91" w:rsidRDefault="00A823A3" w:rsidP="00E35F91">
      <w:pPr>
        <w:spacing w:after="0" w:line="252" w:lineRule="auto"/>
      </w:pPr>
      <w:r>
        <w:t>Marissa Hall</w:t>
      </w:r>
    </w:p>
    <w:p w14:paraId="585F0332" w14:textId="5A314233" w:rsidR="00A823A3" w:rsidRDefault="00A823A3" w:rsidP="00E35F91">
      <w:pPr>
        <w:spacing w:after="0" w:line="252" w:lineRule="auto"/>
      </w:pPr>
      <w:r>
        <w:t>Julian Gerez</w:t>
      </w:r>
    </w:p>
    <w:p w14:paraId="2EC59344" w14:textId="77777777" w:rsidR="00A823A3" w:rsidRPr="00451694" w:rsidDel="0026470E" w:rsidRDefault="00A823A3" w:rsidP="00E35F91">
      <w:pPr>
        <w:spacing w:after="0" w:line="252" w:lineRule="auto"/>
        <w:rPr>
          <w:del w:id="0" w:author="Hall, Marissa" w:date="2018-05-22T16:25:00Z"/>
        </w:rPr>
      </w:pPr>
    </w:p>
    <w:p w14:paraId="1E5FBC68" w14:textId="77777777" w:rsidR="00E35F91" w:rsidRPr="00451694" w:rsidRDefault="00E35F91" w:rsidP="00E35F91">
      <w:pPr>
        <w:spacing w:after="0" w:line="252" w:lineRule="auto"/>
      </w:pPr>
      <w:r w:rsidRPr="00451694">
        <w:t>American Institutes for Research</w:t>
      </w:r>
    </w:p>
    <w:p w14:paraId="59CB9D93" w14:textId="77777777" w:rsidR="00E35F91" w:rsidRPr="00451694" w:rsidRDefault="00E35F91" w:rsidP="00E35F91">
      <w:pPr>
        <w:spacing w:after="0" w:line="252" w:lineRule="auto"/>
      </w:pPr>
    </w:p>
    <w:p w14:paraId="7368E84A" w14:textId="77777777" w:rsidR="00E35F91" w:rsidRPr="00451694" w:rsidRDefault="00E35F91" w:rsidP="00E35F91">
      <w:pPr>
        <w:spacing w:after="0" w:line="252" w:lineRule="auto"/>
        <w:rPr>
          <w:i/>
        </w:rPr>
      </w:pPr>
      <w:r w:rsidRPr="00451694">
        <w:rPr>
          <w:i/>
        </w:rPr>
        <w:t>Project Officer</w:t>
      </w:r>
    </w:p>
    <w:p w14:paraId="1AA4618F" w14:textId="77777777" w:rsidR="00E35F91" w:rsidRPr="00451694" w:rsidRDefault="00E35F91" w:rsidP="00E35F91">
      <w:pPr>
        <w:spacing w:after="0" w:line="252" w:lineRule="auto"/>
      </w:pPr>
      <w:commentRangeStart w:id="1"/>
      <w:r w:rsidRPr="00451694">
        <w:t>TBD</w:t>
      </w:r>
      <w:commentRangeEnd w:id="1"/>
      <w:r w:rsidR="00015EC2">
        <w:rPr>
          <w:rStyle w:val="CommentReference"/>
        </w:rPr>
        <w:commentReference w:id="1"/>
      </w:r>
    </w:p>
    <w:p w14:paraId="2F3F7C66" w14:textId="77777777" w:rsidR="00E35F91" w:rsidRPr="00451694" w:rsidRDefault="00E35F91" w:rsidP="00E35F91">
      <w:pPr>
        <w:spacing w:after="0" w:line="252" w:lineRule="auto"/>
      </w:pPr>
      <w:r w:rsidRPr="00451694">
        <w:t>National Center for Education Statistics</w:t>
      </w:r>
    </w:p>
    <w:p w14:paraId="3194198A" w14:textId="77777777" w:rsidR="00E35F91" w:rsidRPr="00451694" w:rsidRDefault="00E35F91" w:rsidP="00E35F91">
      <w:pPr>
        <w:spacing w:after="0" w:line="252" w:lineRule="auto"/>
      </w:pPr>
    </w:p>
    <w:p w14:paraId="19A49DB9" w14:textId="77777777" w:rsidR="00E35F91" w:rsidRPr="00451694" w:rsidRDefault="00B60AAD">
      <w:pPr>
        <w:rPr>
          <w:b/>
        </w:rPr>
      </w:pPr>
      <w:r w:rsidRPr="00451694">
        <w:rPr>
          <w:b/>
        </w:rPr>
        <w:t>Introduction</w:t>
      </w:r>
    </w:p>
    <w:p w14:paraId="5B438CD6" w14:textId="519CD24F" w:rsidR="00445910" w:rsidRPr="00451694" w:rsidRDefault="005E4B91">
      <w:r>
        <w:t>Heightened</w:t>
      </w:r>
      <w:r w:rsidR="00F9191C" w:rsidRPr="00451694">
        <w:t xml:space="preserve"> awareness and encouragement for students in the United States to pursue careers in science </w:t>
      </w:r>
      <w:r w:rsidR="00F9191C" w:rsidRPr="00451694">
        <w:rPr>
          <w:highlight w:val="red"/>
        </w:rPr>
        <w:t>[source]</w:t>
      </w:r>
      <w:r w:rsidR="00F9191C" w:rsidRPr="00451694">
        <w:t xml:space="preserve">. This analysis examines U.S. 15-year-old students who reported career expectations in science in the 2015 Program for International Student Assessment (PISA). </w:t>
      </w:r>
      <w:r w:rsidR="00445910" w:rsidRPr="00451694">
        <w:t>This</w:t>
      </w:r>
      <w:r w:rsidR="00F9191C" w:rsidRPr="00451694">
        <w:t xml:space="preserve"> analysis explores three </w:t>
      </w:r>
      <w:r w:rsidR="00445910" w:rsidRPr="00451694">
        <w:rPr>
          <w:highlight w:val="red"/>
        </w:rPr>
        <w:t>[insert word: aspects?]</w:t>
      </w:r>
      <w:r w:rsidR="00445910" w:rsidRPr="00451694">
        <w:t xml:space="preserve">: (1) selected demographic characteristics of students expecting careers in science, (2) </w:t>
      </w:r>
      <w:commentRangeStart w:id="2"/>
      <w:r w:rsidR="00445910" w:rsidRPr="00451694">
        <w:t xml:space="preserve">the relationship between </w:t>
      </w:r>
      <w:commentRangeEnd w:id="2"/>
      <w:r w:rsidR="00FA414A">
        <w:rPr>
          <w:rStyle w:val="CommentReference"/>
        </w:rPr>
        <w:commentReference w:id="2"/>
      </w:r>
      <w:r w:rsidR="00445910" w:rsidRPr="00451694">
        <w:t xml:space="preserve">students’ </w:t>
      </w:r>
      <w:del w:id="3" w:author="Hall, Marissa" w:date="2018-05-22T15:59:00Z">
        <w:r w:rsidR="00445910" w:rsidRPr="00451694" w:rsidDel="00FA414A">
          <w:delText>attitudes toward</w:delText>
        </w:r>
      </w:del>
      <w:ins w:id="4" w:author="Hall, Marissa" w:date="2018-05-22T15:59:00Z">
        <w:r w:rsidR="00FA414A">
          <w:t>interest</w:t>
        </w:r>
      </w:ins>
      <w:r w:rsidR="00445910" w:rsidRPr="00451694">
        <w:t xml:space="preserve"> </w:t>
      </w:r>
      <w:ins w:id="5" w:author="Hall, Marissa" w:date="2018-05-22T15:59:00Z">
        <w:r w:rsidR="00FA414A">
          <w:t xml:space="preserve">in different </w:t>
        </w:r>
      </w:ins>
      <w:r w:rsidR="00445910" w:rsidRPr="00451694">
        <w:t xml:space="preserve">science </w:t>
      </w:r>
      <w:ins w:id="6" w:author="Hall, Marissa" w:date="2018-05-22T15:59:00Z">
        <w:r w:rsidR="00FA414A">
          <w:t xml:space="preserve">content areas </w:t>
        </w:r>
      </w:ins>
      <w:r w:rsidR="00445910" w:rsidRPr="00451694">
        <w:t>and their expectation of science careers, and (3) the association between students’ science career expectations and their science performance.</w:t>
      </w:r>
      <w:r w:rsidR="009B028C" w:rsidRPr="00451694">
        <w:t xml:space="preserve"> Measuring average academic performance across countries can mask inequities</w:t>
      </w:r>
      <w:ins w:id="7" w:author="Hall, Marissa" w:date="2018-05-22T16:05:00Z">
        <w:r w:rsidR="00347AE3">
          <w:t xml:space="preserve"> or differences</w:t>
        </w:r>
      </w:ins>
      <w:r w:rsidR="009B028C" w:rsidRPr="00451694">
        <w:t xml:space="preserve"> by subgroups</w:t>
      </w:r>
      <w:ins w:id="8" w:author="Hall, Marissa" w:date="2018-05-22T16:05:00Z">
        <w:r w:rsidR="00347AE3">
          <w:t>,</w:t>
        </w:r>
      </w:ins>
      <w:r w:rsidR="009B028C" w:rsidRPr="00451694">
        <w:t xml:space="preserve"> such as science career expectations. Understanding how variables </w:t>
      </w:r>
      <w:del w:id="9" w:author="Hall, Marissa" w:date="2018-05-22T16:08:00Z">
        <w:r w:rsidR="009B028C" w:rsidRPr="00451694" w:rsidDel="00347AE3">
          <w:delText xml:space="preserve">that </w:delText>
        </w:r>
      </w:del>
      <w:r w:rsidR="009B028C" w:rsidRPr="00451694">
        <w:t xml:space="preserve">are connected to students’ career expectations in science will provide insight into </w:t>
      </w:r>
      <w:r w:rsidR="009B028C" w:rsidRPr="00451694">
        <w:rPr>
          <w:highlight w:val="red"/>
        </w:rPr>
        <w:t>[add]</w:t>
      </w:r>
      <w:r w:rsidR="009B028C" w:rsidRPr="00451694">
        <w:t>.</w:t>
      </w:r>
    </w:p>
    <w:p w14:paraId="5C0862DF" w14:textId="1E346D7E" w:rsidR="009B028C" w:rsidRPr="00451694" w:rsidRDefault="000119F4">
      <w:commentRangeStart w:id="10"/>
      <w:r w:rsidRPr="00451694">
        <w:t xml:space="preserve">Students’ career expectations have been found to be highly predictive of students’ actual career choices and outcomes later in life </w:t>
      </w:r>
      <w:proofErr w:type="gramStart"/>
      <w:r w:rsidRPr="00451694">
        <w:t>( (</w:t>
      </w:r>
      <w:proofErr w:type="gramEnd"/>
      <w:r w:rsidRPr="00451694">
        <w:t>Tai, Liu, Maltese, &amp; Fan, 2006; Goyette, 2008; Aschbacher, Ing, &amp; Tsai, 2014).</w:t>
      </w:r>
      <w:commentRangeEnd w:id="10"/>
      <w:r w:rsidRPr="00451694">
        <w:rPr>
          <w:rStyle w:val="CommentReference"/>
          <w:sz w:val="22"/>
          <w:szCs w:val="22"/>
        </w:rPr>
        <w:commentReference w:id="10"/>
      </w:r>
    </w:p>
    <w:p w14:paraId="1F3CF67E" w14:textId="77777777" w:rsidR="000119F4" w:rsidRPr="00451694" w:rsidRDefault="00021D6A">
      <w:r w:rsidRPr="00451694">
        <w:rPr>
          <w:b/>
        </w:rPr>
        <w:t>Methods and data sources</w:t>
      </w:r>
    </w:p>
    <w:p w14:paraId="00C90EAD" w14:textId="77777777" w:rsidR="00B60AAD" w:rsidRPr="00451694" w:rsidRDefault="00B60AAD">
      <w:pPr>
        <w:rPr>
          <w:i/>
        </w:rPr>
      </w:pPr>
      <w:r w:rsidRPr="00451694">
        <w:rPr>
          <w:i/>
        </w:rPr>
        <w:t>Main variable: science careers</w:t>
      </w:r>
    </w:p>
    <w:p w14:paraId="3C44C097" w14:textId="148D453D" w:rsidR="00670B67" w:rsidRPr="00451694" w:rsidRDefault="00670B67">
      <w:r w:rsidRPr="00451694">
        <w:t xml:space="preserve">In PISA 2015, 15-year-old students </w:t>
      </w:r>
      <w:proofErr w:type="gramStart"/>
      <w:r w:rsidR="009B028C" w:rsidRPr="00451694">
        <w:t>answered</w:t>
      </w:r>
      <w:proofErr w:type="gramEnd"/>
      <w:r w:rsidRPr="00451694">
        <w:t xml:space="preserve"> </w:t>
      </w:r>
      <w:r w:rsidR="00C8384B" w:rsidRPr="00451694">
        <w:t xml:space="preserve">“what kind of job [they] expect to have when they are about 30 years old” (ST114). Answers to this open-ended question were coded into </w:t>
      </w:r>
      <w:r w:rsidR="00C07825" w:rsidRPr="00451694">
        <w:t xml:space="preserve">respective ISCO-08 </w:t>
      </w:r>
      <w:r w:rsidR="00C8384B" w:rsidRPr="00451694">
        <w:t>codes. These codes were used to define science careers (for the purposes of deriving science career expectations) in the following manner, which is the same way that the OECD has defined science careers:</w:t>
      </w:r>
    </w:p>
    <w:p w14:paraId="349D2E1C" w14:textId="77777777" w:rsidR="00C07825" w:rsidRPr="00451694" w:rsidRDefault="005713A9" w:rsidP="005713A9">
      <w:pPr>
        <w:pStyle w:val="ListParagraph"/>
        <w:numPr>
          <w:ilvl w:val="0"/>
          <w:numId w:val="1"/>
        </w:numPr>
      </w:pPr>
      <w:r w:rsidRPr="00451694">
        <w:t>All science and engineering professionals (except product and garment designers, graphic and multimedia designers)</w:t>
      </w:r>
    </w:p>
    <w:p w14:paraId="0CFEB188" w14:textId="77777777" w:rsidR="005713A9" w:rsidRPr="00451694" w:rsidRDefault="005713A9" w:rsidP="005713A9">
      <w:pPr>
        <w:pStyle w:val="ListParagraph"/>
        <w:numPr>
          <w:ilvl w:val="0"/>
          <w:numId w:val="1"/>
        </w:numPr>
      </w:pPr>
      <w:bookmarkStart w:id="11" w:name="_Hlk514762226"/>
      <w:r w:rsidRPr="00451694">
        <w:t>All health professionals (except traditional and complementary medicine professionals)</w:t>
      </w:r>
    </w:p>
    <w:bookmarkEnd w:id="11"/>
    <w:p w14:paraId="21ED5B37" w14:textId="77777777" w:rsidR="005713A9" w:rsidRPr="00451694" w:rsidRDefault="005713A9" w:rsidP="005713A9">
      <w:pPr>
        <w:pStyle w:val="ListParagraph"/>
        <w:numPr>
          <w:ilvl w:val="0"/>
          <w:numId w:val="1"/>
        </w:numPr>
      </w:pPr>
      <w:r w:rsidRPr="00451694">
        <w:t>All information and communications technology professionals</w:t>
      </w:r>
    </w:p>
    <w:p w14:paraId="29D11849" w14:textId="77777777" w:rsidR="005713A9" w:rsidRPr="00451694" w:rsidRDefault="005713A9" w:rsidP="005713A9">
      <w:pPr>
        <w:pStyle w:val="ListParagraph"/>
        <w:numPr>
          <w:ilvl w:val="0"/>
          <w:numId w:val="1"/>
        </w:numPr>
      </w:pPr>
      <w:r w:rsidRPr="00451694">
        <w:t>Science technicians and associate professionals:</w:t>
      </w:r>
    </w:p>
    <w:p w14:paraId="559D710D" w14:textId="77777777" w:rsidR="005713A9" w:rsidRPr="00451694" w:rsidRDefault="005713A9" w:rsidP="005713A9">
      <w:pPr>
        <w:pStyle w:val="ListParagraph"/>
        <w:numPr>
          <w:ilvl w:val="1"/>
          <w:numId w:val="1"/>
        </w:numPr>
      </w:pPr>
      <w:r w:rsidRPr="00451694">
        <w:t>Physical and engineering science technicians</w:t>
      </w:r>
    </w:p>
    <w:p w14:paraId="1406D2F9" w14:textId="77777777" w:rsidR="005713A9" w:rsidRPr="00451694" w:rsidRDefault="005713A9" w:rsidP="005713A9">
      <w:pPr>
        <w:pStyle w:val="ListParagraph"/>
        <w:numPr>
          <w:ilvl w:val="1"/>
          <w:numId w:val="1"/>
        </w:numPr>
      </w:pPr>
      <w:r w:rsidRPr="00451694">
        <w:t>Life science technicians</w:t>
      </w:r>
      <w:r w:rsidR="008B2F79" w:rsidRPr="00451694">
        <w:t xml:space="preserve"> and related associate professionals</w:t>
      </w:r>
    </w:p>
    <w:p w14:paraId="64D8465D" w14:textId="77777777" w:rsidR="008B2F79" w:rsidRPr="00451694" w:rsidRDefault="008B2F79" w:rsidP="005713A9">
      <w:pPr>
        <w:pStyle w:val="ListParagraph"/>
        <w:numPr>
          <w:ilvl w:val="1"/>
          <w:numId w:val="1"/>
        </w:numPr>
      </w:pPr>
      <w:r w:rsidRPr="00451694">
        <w:t>Air traffic safety electronic technicians</w:t>
      </w:r>
    </w:p>
    <w:p w14:paraId="5810488F" w14:textId="77777777" w:rsidR="008B2F79" w:rsidRPr="00451694" w:rsidRDefault="008B2F79" w:rsidP="005713A9">
      <w:pPr>
        <w:pStyle w:val="ListParagraph"/>
        <w:numPr>
          <w:ilvl w:val="1"/>
          <w:numId w:val="1"/>
        </w:numPr>
      </w:pPr>
      <w:r w:rsidRPr="00451694">
        <w:lastRenderedPageBreak/>
        <w:t>Medical and pharmaceutical technicians except medical and dental prosthetic technicians</w:t>
      </w:r>
    </w:p>
    <w:p w14:paraId="03BC6993" w14:textId="77777777" w:rsidR="008B2F79" w:rsidRPr="00451694" w:rsidRDefault="008B2F79" w:rsidP="005713A9">
      <w:pPr>
        <w:pStyle w:val="ListParagraph"/>
        <w:numPr>
          <w:ilvl w:val="1"/>
          <w:numId w:val="1"/>
        </w:numPr>
      </w:pPr>
      <w:r w:rsidRPr="00451694">
        <w:t>Telecommunications engineering technicians</w:t>
      </w:r>
    </w:p>
    <w:p w14:paraId="6E2AD4C9" w14:textId="77777777" w:rsidR="008B2F79" w:rsidRPr="00451694" w:rsidRDefault="008B2F79" w:rsidP="008B2F79">
      <w:r w:rsidRPr="00451694">
        <w:t xml:space="preserve">More broadly, science-related career expectations are defined as those career expectations </w:t>
      </w:r>
      <w:del w:id="12" w:author="Hall, Marissa" w:date="2018-05-22T16:09:00Z">
        <w:r w:rsidRPr="00451694" w:rsidDel="00347AE3">
          <w:delText>(</w:delText>
        </w:r>
      </w:del>
      <w:r w:rsidRPr="00451694">
        <w:t>whose realization requires further engagement with the study of science beyond compulsory education, typically in formal tertiary education settings</w:t>
      </w:r>
      <w:del w:id="13" w:author="Hall, Marissa" w:date="2018-05-22T16:09:00Z">
        <w:r w:rsidRPr="00451694" w:rsidDel="00347AE3">
          <w:delText>)</w:delText>
        </w:r>
      </w:del>
      <w:r w:rsidRPr="00451694">
        <w:t>.</w:t>
      </w:r>
    </w:p>
    <w:p w14:paraId="604464C1" w14:textId="527849E2" w:rsidR="00EA718B" w:rsidRPr="00451694" w:rsidRDefault="009B028C" w:rsidP="00370D0B">
      <w:r w:rsidRPr="00451694">
        <w:t>The same methodology</w:t>
      </w:r>
      <w:r w:rsidR="00E00BD3" w:rsidRPr="00451694">
        <w:t xml:space="preserve"> </w:t>
      </w:r>
      <w:r w:rsidR="00EA718B" w:rsidRPr="00451694">
        <w:t xml:space="preserve">was used to code responses for mother and father’s occupation. </w:t>
      </w:r>
      <w:r w:rsidR="00370D0B" w:rsidRPr="00370D0B">
        <w:t>The questions come from the student background questionnaire and ask about both the jobs of the student’s mother and father. For each parent, the student is asked to type a job title and a sentence describing the kind of work involved in the job. If a parent is not working, the questionnaire instructs the student to fill in the respective parent’s l</w:t>
      </w:r>
      <w:r w:rsidR="00370D0B">
        <w:t>ast job title and job duties.</w:t>
      </w:r>
      <w:r w:rsidR="00370D0B" w:rsidRPr="00451694">
        <w:t xml:space="preserve"> </w:t>
      </w:r>
    </w:p>
    <w:p w14:paraId="29F139DE" w14:textId="16F8ACD6" w:rsidR="0030718A" w:rsidRPr="00451694" w:rsidRDefault="0030718A" w:rsidP="008B2F79">
      <w:r w:rsidRPr="00451694">
        <w:t xml:space="preserve">A more refined </w:t>
      </w:r>
      <w:r w:rsidR="00C2408D" w:rsidRPr="00451694">
        <w:t>coding of science careers was also implemented, with medical careers disaggregated from science careers in the following manner</w:t>
      </w:r>
      <w:r w:rsidR="00754E1F" w:rsidRPr="00451694">
        <w:t>: all health professionals (except traditional and complementary medicine professionals) were coded as medical careers.</w:t>
      </w:r>
    </w:p>
    <w:p w14:paraId="2645C4CE" w14:textId="7FBB94AF" w:rsidR="00193DE8" w:rsidRPr="00451694" w:rsidRDefault="00193DE8" w:rsidP="008B2F79">
      <w:pPr>
        <w:rPr>
          <w:i/>
        </w:rPr>
      </w:pPr>
      <w:r w:rsidRPr="00451694">
        <w:rPr>
          <w:i/>
        </w:rPr>
        <w:t>Student demographic variables</w:t>
      </w:r>
    </w:p>
    <w:p w14:paraId="5A440D23" w14:textId="76A43935" w:rsidR="009B028C" w:rsidRDefault="009B028C" w:rsidP="008B2F79">
      <w:pPr>
        <w:rPr>
          <w:b/>
        </w:rPr>
      </w:pPr>
      <w:r w:rsidRPr="00370D0B">
        <w:rPr>
          <w:b/>
        </w:rPr>
        <w:t>Gender</w:t>
      </w:r>
    </w:p>
    <w:p w14:paraId="50E4A6DE" w14:textId="17486BF5" w:rsidR="009B028C" w:rsidRDefault="009B028C" w:rsidP="008B2F79">
      <w:pPr>
        <w:rPr>
          <w:b/>
        </w:rPr>
      </w:pPr>
      <w:r w:rsidRPr="00246CBD">
        <w:rPr>
          <w:b/>
        </w:rPr>
        <w:t>Race/ethnicity</w:t>
      </w:r>
    </w:p>
    <w:p w14:paraId="2ED160FD" w14:textId="559B0C29" w:rsidR="009B028C" w:rsidRDefault="009B028C" w:rsidP="008B2F79">
      <w:pPr>
        <w:rPr>
          <w:b/>
        </w:rPr>
      </w:pPr>
      <w:r w:rsidRPr="00246CBD">
        <w:rPr>
          <w:b/>
        </w:rPr>
        <w:t>Immigration status</w:t>
      </w:r>
    </w:p>
    <w:p w14:paraId="43395D3B" w14:textId="120B271B" w:rsidR="009B028C" w:rsidRDefault="009B028C" w:rsidP="008B2F79">
      <w:pPr>
        <w:rPr>
          <w:b/>
        </w:rPr>
      </w:pPr>
      <w:r w:rsidRPr="00246CBD">
        <w:rPr>
          <w:b/>
        </w:rPr>
        <w:t>Science interests</w:t>
      </w:r>
    </w:p>
    <w:p w14:paraId="2E477875" w14:textId="77777777" w:rsidR="005C1E29" w:rsidRDefault="005C1E29" w:rsidP="005C1E29">
      <w:pPr>
        <w:pStyle w:val="ListParagraph"/>
        <w:numPr>
          <w:ilvl w:val="0"/>
          <w:numId w:val="3"/>
        </w:numPr>
        <w:spacing w:line="256" w:lineRule="auto"/>
      </w:pPr>
      <w:r>
        <w:t xml:space="preserve">When looking at the specific science interests of only those students interested in science careers (engineering/tech vs. medical), the difference in interested/highly interested students is between five and seven percentage points for three topics: biosphere, preventing disease, and the Universe. </w:t>
      </w:r>
    </w:p>
    <w:p w14:paraId="06E4EC43" w14:textId="77777777" w:rsidR="005C1E29" w:rsidRDefault="005C1E29" w:rsidP="005C1E29">
      <w:pPr>
        <w:pStyle w:val="ListParagraph"/>
        <w:numPr>
          <w:ilvl w:val="1"/>
          <w:numId w:val="3"/>
        </w:numPr>
        <w:spacing w:line="256" w:lineRule="auto"/>
      </w:pPr>
      <w:r>
        <w:t>However, students interested in engineering/tech are more likely than those interested in medicine to find energy and motion/forces interesting. The differences for these two topics are 16 and 24 percentage points, respectively.</w:t>
      </w:r>
    </w:p>
    <w:p w14:paraId="50E7E497" w14:textId="77777777" w:rsidR="005C1E29" w:rsidRPr="00246CBD" w:rsidRDefault="005C1E29" w:rsidP="008B2F79">
      <w:pPr>
        <w:rPr>
          <w:b/>
        </w:rPr>
      </w:pPr>
    </w:p>
    <w:p w14:paraId="5D9BCD6E" w14:textId="77777777" w:rsidR="0030718A" w:rsidRPr="00451694" w:rsidRDefault="0030718A" w:rsidP="008B2F79">
      <w:pPr>
        <w:rPr>
          <w:i/>
        </w:rPr>
      </w:pPr>
      <w:r w:rsidRPr="00451694">
        <w:rPr>
          <w:i/>
        </w:rPr>
        <w:t>Other variables</w:t>
      </w:r>
    </w:p>
    <w:p w14:paraId="3D24D073" w14:textId="77777777" w:rsidR="002041F6" w:rsidRPr="00451694" w:rsidRDefault="002041F6" w:rsidP="008B2F79">
      <w:r w:rsidRPr="00451694">
        <w:t>School location:</w:t>
      </w:r>
    </w:p>
    <w:p w14:paraId="485D9D4D" w14:textId="77777777" w:rsidR="002041F6" w:rsidRPr="00451694" w:rsidRDefault="002041F6" w:rsidP="005E1E5E">
      <w:r w:rsidRPr="00451694">
        <w:t>This project uses the school location variable of the PISA school questionnaire to define urbanicity. This variable asks principals in what kind of community their school is located and provides the following options: (1) a village, hamlet, or rural area (fewer than 3,000 people), (2) a small town (3,000 to about 15,000 people), (3) a town (15,000 to about 100,000 people), (4) a city (100,000 to about 1,000,000 people), and (5) a large city (with over 1,000,000 people). This analysis considers schools located in the last two options as “urban,” while all other s</w:t>
      </w:r>
      <w:r w:rsidR="005E1E5E" w:rsidRPr="00451694">
        <w:t>chools are defined as non-urban, consistent with the definition used by the OECD (OECD 2013).</w:t>
      </w:r>
    </w:p>
    <w:p w14:paraId="4A685E6D" w14:textId="75BC5724" w:rsidR="00CB09DD" w:rsidRPr="00451694" w:rsidRDefault="009738E3" w:rsidP="00CB09DD">
      <w:pPr>
        <w:rPr>
          <w:b/>
        </w:rPr>
      </w:pPr>
      <w:r w:rsidRPr="00451694">
        <w:rPr>
          <w:b/>
        </w:rPr>
        <w:t>Study Questions</w:t>
      </w:r>
    </w:p>
    <w:p w14:paraId="55680620" w14:textId="26F22C11" w:rsidR="009738E3" w:rsidRPr="00451694" w:rsidRDefault="009738E3" w:rsidP="00CB09DD">
      <w:pPr>
        <w:rPr>
          <w:b/>
        </w:rPr>
      </w:pPr>
      <w:r w:rsidRPr="00451694">
        <w:rPr>
          <w:b/>
        </w:rPr>
        <w:t>Key Findings</w:t>
      </w:r>
    </w:p>
    <w:p w14:paraId="33915A13" w14:textId="734BB5FD" w:rsidR="009738E3" w:rsidRDefault="009738E3" w:rsidP="00246CBD">
      <w:pPr>
        <w:spacing w:line="256" w:lineRule="auto"/>
      </w:pPr>
      <w:r w:rsidRPr="005C1E29">
        <w:rPr>
          <w:b/>
        </w:rPr>
        <w:lastRenderedPageBreak/>
        <w:t>Study Question 1:</w:t>
      </w:r>
      <w:r w:rsidR="005C1E29" w:rsidRPr="005C1E29">
        <w:rPr>
          <w:b/>
        </w:rPr>
        <w:t xml:space="preserve"> </w:t>
      </w:r>
      <w:r w:rsidR="005C1E29">
        <w:t>By gender, race/ethnicity, and immigration status, what percentage of U.S. 15-year-olds is interested in pursuing a career in science? How does that change when looking at specific fields in science?</w:t>
      </w:r>
    </w:p>
    <w:p w14:paraId="3A91A040" w14:textId="74B0FA86" w:rsidR="00BD7924" w:rsidRPr="00BD7924" w:rsidRDefault="00BD7924" w:rsidP="00246CBD">
      <w:pPr>
        <w:spacing w:line="256" w:lineRule="auto"/>
        <w:rPr>
          <w:b/>
        </w:rPr>
      </w:pPr>
      <w:r>
        <w:rPr>
          <w:b/>
        </w:rPr>
        <w:t>Gender</w:t>
      </w:r>
    </w:p>
    <w:p w14:paraId="0710D59E" w14:textId="77777777" w:rsidR="00BD7924" w:rsidRDefault="00BD7924" w:rsidP="00BD7924">
      <w:pPr>
        <w:pStyle w:val="ListParagraph"/>
        <w:numPr>
          <w:ilvl w:val="0"/>
          <w:numId w:val="3"/>
        </w:numPr>
        <w:spacing w:line="256" w:lineRule="auto"/>
      </w:pPr>
      <w:r>
        <w:t xml:space="preserve">U.S. boys outperform girls by 7 points on average, but girls are 10 percentage points more likely to envision a science career: 45% of 15-year-old girls vs. 35% of boys.  </w:t>
      </w:r>
    </w:p>
    <w:p w14:paraId="2BDFC52C" w14:textId="77777777" w:rsidR="00BD7924" w:rsidRDefault="00BD7924" w:rsidP="00BD7924">
      <w:pPr>
        <w:pStyle w:val="ListParagraph"/>
        <w:numPr>
          <w:ilvl w:val="1"/>
          <w:numId w:val="3"/>
        </w:numPr>
        <w:spacing w:line="256" w:lineRule="auto"/>
      </w:pPr>
      <w:r>
        <w:t xml:space="preserve">More than one in three 15-year-old girls sees herself working in medicine (37%), whereas less than one in ten boys (9%) expects to do so. </w:t>
      </w:r>
    </w:p>
    <w:p w14:paraId="429BFA5B" w14:textId="77777777" w:rsidR="00BD7924" w:rsidRDefault="00BD7924" w:rsidP="00BD7924">
      <w:pPr>
        <w:pStyle w:val="ListParagraph"/>
        <w:numPr>
          <w:ilvl w:val="1"/>
          <w:numId w:val="3"/>
        </w:numPr>
        <w:spacing w:line="256" w:lineRule="auto"/>
      </w:pPr>
      <w:r>
        <w:t>Girls are less likely to express interest in engineering and tech fields: though 26% of boys are interested in these fields, only 8% of girls are. In no PISA-participating country are girls more likely to see themselves in engineering/tech than boys.</w:t>
      </w:r>
    </w:p>
    <w:p w14:paraId="74E058EF" w14:textId="77777777" w:rsidR="00BD7924" w:rsidRDefault="00BD7924" w:rsidP="00BD7924">
      <w:pPr>
        <w:pStyle w:val="ListParagraph"/>
        <w:numPr>
          <w:ilvl w:val="1"/>
          <w:numId w:val="3"/>
        </w:numPr>
        <w:spacing w:line="256" w:lineRule="auto"/>
      </w:pPr>
      <w:r>
        <w:t>Girls striving for engineering/tech careers performed at the same level as their male counterparts. Similarly, boys and girls who weren’t interested in science-related careers also showed no significant differences in PISA science scores. However, on average, boys interested in careers in medicine outperformed their female peers by 41 score points.</w:t>
      </w:r>
    </w:p>
    <w:p w14:paraId="5DC0CDE5" w14:textId="77777777" w:rsidR="00BD7924" w:rsidRDefault="00BD7924" w:rsidP="00BD7924">
      <w:pPr>
        <w:pStyle w:val="ListParagraph"/>
        <w:numPr>
          <w:ilvl w:val="2"/>
          <w:numId w:val="3"/>
        </w:numPr>
        <w:spacing w:line="256" w:lineRule="auto"/>
      </w:pPr>
      <w:r>
        <w:t>Among girls, there is no statistically significant difference between those interested in medicine and those not interested in any kind of science career.</w:t>
      </w:r>
    </w:p>
    <w:p w14:paraId="4F40E152" w14:textId="09FE6BDE" w:rsidR="00BD7924" w:rsidRDefault="00BD7924" w:rsidP="00246CBD">
      <w:pPr>
        <w:pStyle w:val="ListParagraph"/>
        <w:numPr>
          <w:ilvl w:val="2"/>
          <w:numId w:val="3"/>
        </w:numPr>
        <w:spacing w:line="256" w:lineRule="auto"/>
      </w:pPr>
      <w:r>
        <w:t>Among boys, those interested in medicine outscore their peers interested in non-sci</w:t>
      </w:r>
      <w:r>
        <w:t>ence careers by 44 score points.</w:t>
      </w:r>
    </w:p>
    <w:p w14:paraId="61C116CB" w14:textId="4565709A" w:rsidR="00BD7924" w:rsidRDefault="00BD7924" w:rsidP="00BD7924">
      <w:pPr>
        <w:spacing w:line="256" w:lineRule="auto"/>
        <w:rPr>
          <w:b/>
        </w:rPr>
      </w:pPr>
      <w:r>
        <w:rPr>
          <w:b/>
        </w:rPr>
        <w:t>Race/Ethnicity</w:t>
      </w:r>
    </w:p>
    <w:p w14:paraId="3BB28597" w14:textId="77777777" w:rsidR="00BD7924" w:rsidRDefault="00BD7924" w:rsidP="00BD7924">
      <w:pPr>
        <w:numPr>
          <w:ilvl w:val="0"/>
          <w:numId w:val="3"/>
        </w:numPr>
        <w:spacing w:line="252" w:lineRule="auto"/>
        <w:contextualSpacing/>
        <w:rPr>
          <w:rFonts w:eastAsia="Times New Roman"/>
        </w:rPr>
      </w:pPr>
      <w:r>
        <w:rPr>
          <w:rFonts w:eastAsia="Times New Roman"/>
        </w:rPr>
        <w:t xml:space="preserve">Even after controlling for ESCS, gaps in student science scores by race/ethnicity persist. </w:t>
      </w:r>
    </w:p>
    <w:p w14:paraId="4ABBC6C0" w14:textId="77777777" w:rsidR="00BD7924" w:rsidRDefault="00BD7924" w:rsidP="00BD7924">
      <w:pPr>
        <w:numPr>
          <w:ilvl w:val="0"/>
          <w:numId w:val="3"/>
        </w:numPr>
        <w:spacing w:line="252" w:lineRule="auto"/>
        <w:contextualSpacing/>
        <w:rPr>
          <w:rFonts w:eastAsia="Times New Roman"/>
        </w:rPr>
      </w:pPr>
      <w:r>
        <w:rPr>
          <w:rFonts w:eastAsia="Times New Roman"/>
        </w:rPr>
        <w:t xml:space="preserve">There are no statistically significant differences between the scores of White and Asian students at the lowest and highest quartiles of the ESCS index; yet, on average, a White student in the </w:t>
      </w:r>
      <w:r>
        <w:rPr>
          <w:rFonts w:eastAsia="Times New Roman"/>
          <w:i/>
          <w:iCs/>
        </w:rPr>
        <w:t>lowest</w:t>
      </w:r>
      <w:r>
        <w:rPr>
          <w:rFonts w:eastAsia="Times New Roman"/>
        </w:rPr>
        <w:t xml:space="preserve"> ESCS quartile received a PISA science score of 482, while a Black student in the </w:t>
      </w:r>
      <w:r>
        <w:rPr>
          <w:rFonts w:eastAsia="Times New Roman"/>
          <w:i/>
          <w:iCs/>
        </w:rPr>
        <w:t>highest</w:t>
      </w:r>
      <w:r>
        <w:rPr>
          <w:rFonts w:eastAsia="Times New Roman"/>
        </w:rPr>
        <w:t xml:space="preserve"> ESCS quartile received a score of 474.</w:t>
      </w:r>
    </w:p>
    <w:p w14:paraId="20C485E0" w14:textId="77777777" w:rsidR="00BD7924" w:rsidRPr="00246CBD" w:rsidRDefault="00BD7924" w:rsidP="00BD7924">
      <w:pPr>
        <w:numPr>
          <w:ilvl w:val="0"/>
          <w:numId w:val="3"/>
        </w:numPr>
        <w:spacing w:line="252" w:lineRule="auto"/>
        <w:contextualSpacing/>
        <w:rPr>
          <w:rFonts w:eastAsia="Times New Roman"/>
        </w:rPr>
      </w:pPr>
      <w:r w:rsidRPr="00246CBD">
        <w:rPr>
          <w:rFonts w:eastAsia="Times New Roman"/>
        </w:rPr>
        <w:t xml:space="preserve">Fifty percent of Asian students foresee themselves pursuing science careers, whereas 38%, 39%, and 41% of Black, Hispanic, and White students do, respectively. </w:t>
      </w:r>
    </w:p>
    <w:p w14:paraId="530A7921" w14:textId="58666F81" w:rsidR="00BD7924" w:rsidRDefault="00BD7924" w:rsidP="00BD7924">
      <w:pPr>
        <w:numPr>
          <w:ilvl w:val="1"/>
          <w:numId w:val="3"/>
        </w:numPr>
        <w:spacing w:line="252" w:lineRule="auto"/>
        <w:contextualSpacing/>
        <w:rPr>
          <w:rFonts w:eastAsia="Times New Roman"/>
        </w:rPr>
      </w:pPr>
      <w:r w:rsidRPr="00246CBD">
        <w:rPr>
          <w:rFonts w:eastAsia="Times New Roman"/>
        </w:rPr>
        <w:t>The percentage of students interested in engineering/tech ranges from 12% of all Black student</w:t>
      </w:r>
      <w:r>
        <w:rPr>
          <w:rFonts w:eastAsia="Times New Roman"/>
        </w:rPr>
        <w:t>s to 23% of all Asian students.</w:t>
      </w:r>
    </w:p>
    <w:p w14:paraId="6CD08DFD" w14:textId="1A908DE0" w:rsidR="00BD7924" w:rsidRDefault="00BD7924" w:rsidP="00BD7924">
      <w:pPr>
        <w:spacing w:line="252" w:lineRule="auto"/>
        <w:contextualSpacing/>
        <w:rPr>
          <w:rFonts w:eastAsia="Times New Roman"/>
          <w:b/>
        </w:rPr>
      </w:pPr>
      <w:r>
        <w:rPr>
          <w:rFonts w:eastAsia="Times New Roman"/>
          <w:b/>
        </w:rPr>
        <w:t>Immigration Status</w:t>
      </w:r>
    </w:p>
    <w:p w14:paraId="6659932A" w14:textId="156F9C82" w:rsidR="00BD7924" w:rsidRDefault="00BD7924" w:rsidP="00BD7924">
      <w:pPr>
        <w:spacing w:line="252" w:lineRule="auto"/>
        <w:contextualSpacing/>
        <w:rPr>
          <w:rFonts w:eastAsia="Times New Roman"/>
          <w:b/>
        </w:rPr>
      </w:pPr>
    </w:p>
    <w:p w14:paraId="5EBB978E" w14:textId="77777777" w:rsidR="00BD7924" w:rsidRPr="00246CBD" w:rsidRDefault="00BD7924" w:rsidP="00BD7924">
      <w:pPr>
        <w:numPr>
          <w:ilvl w:val="0"/>
          <w:numId w:val="3"/>
        </w:numPr>
        <w:spacing w:line="252" w:lineRule="auto"/>
        <w:contextualSpacing/>
        <w:rPr>
          <w:rFonts w:eastAsia="Times New Roman"/>
        </w:rPr>
      </w:pPr>
      <w:r w:rsidRPr="00246CBD">
        <w:rPr>
          <w:rFonts w:eastAsia="Times New Roman"/>
        </w:rPr>
        <w:t>On average, 15-year-old students native to the U.S. tended to outperform their second-generation peers, who in turn tended to outperform first-generation students.</w:t>
      </w:r>
    </w:p>
    <w:p w14:paraId="5DB21C7E" w14:textId="77777777" w:rsidR="00BD7924" w:rsidRPr="00246CBD" w:rsidRDefault="00BD7924" w:rsidP="00BD7924">
      <w:pPr>
        <w:numPr>
          <w:ilvl w:val="1"/>
          <w:numId w:val="3"/>
        </w:numPr>
        <w:spacing w:line="252" w:lineRule="auto"/>
        <w:contextualSpacing/>
        <w:rPr>
          <w:rFonts w:eastAsia="Times New Roman"/>
        </w:rPr>
      </w:pPr>
      <w:r w:rsidRPr="00246CBD">
        <w:rPr>
          <w:rFonts w:eastAsia="Times New Roman"/>
        </w:rPr>
        <w:t>Indeed, the largest gap, 50 score points—or one-half of a standard deviation—was between native (506 score points) and first-generation students (456), with second-generation students (482) falling in between.</w:t>
      </w:r>
    </w:p>
    <w:p w14:paraId="14FBFBEC" w14:textId="77777777" w:rsidR="00BD7924" w:rsidRPr="00246CBD" w:rsidRDefault="00BD7924" w:rsidP="00BD7924">
      <w:pPr>
        <w:numPr>
          <w:ilvl w:val="0"/>
          <w:numId w:val="3"/>
        </w:numPr>
        <w:spacing w:line="252" w:lineRule="auto"/>
        <w:contextualSpacing/>
        <w:rPr>
          <w:rFonts w:eastAsia="Times New Roman"/>
        </w:rPr>
      </w:pPr>
      <w:r w:rsidRPr="00246CBD">
        <w:rPr>
          <w:rFonts w:eastAsia="Times New Roman"/>
        </w:rPr>
        <w:t xml:space="preserve">Despite the 24-point score gap between native and second-generation students, there is </w:t>
      </w:r>
      <w:r w:rsidRPr="00246CBD">
        <w:rPr>
          <w:rFonts w:eastAsia="Times New Roman"/>
          <w:i/>
          <w:iCs/>
        </w:rPr>
        <w:t>no</w:t>
      </w:r>
      <w:r w:rsidRPr="00246CBD">
        <w:rPr>
          <w:rFonts w:eastAsia="Times New Roman"/>
        </w:rPr>
        <w:t xml:space="preserve"> statistically significant difference between two groups of students after accounting for socioeconomic status, and the gap between native and first-generation students falls to 30 score points.</w:t>
      </w:r>
    </w:p>
    <w:p w14:paraId="21FC40A9" w14:textId="77777777" w:rsidR="00BD7924" w:rsidRPr="00246CBD" w:rsidRDefault="00BD7924" w:rsidP="00BD7924">
      <w:pPr>
        <w:numPr>
          <w:ilvl w:val="0"/>
          <w:numId w:val="3"/>
        </w:numPr>
        <w:spacing w:line="252" w:lineRule="auto"/>
        <w:contextualSpacing/>
        <w:rPr>
          <w:rFonts w:eastAsia="Times New Roman"/>
        </w:rPr>
      </w:pPr>
      <w:r w:rsidRPr="00246CBD">
        <w:rPr>
          <w:rFonts w:eastAsia="Times New Roman"/>
        </w:rPr>
        <w:t>At the third national quarter of ESCS, there is no statistically significant difference between any of the three immigration categories.</w:t>
      </w:r>
    </w:p>
    <w:p w14:paraId="5F9D96E4" w14:textId="58042956" w:rsidR="00BD7924" w:rsidRPr="002B7ECF" w:rsidRDefault="00BD7924" w:rsidP="002B7ECF">
      <w:pPr>
        <w:numPr>
          <w:ilvl w:val="0"/>
          <w:numId w:val="3"/>
        </w:numPr>
        <w:spacing w:line="252" w:lineRule="auto"/>
        <w:contextualSpacing/>
        <w:rPr>
          <w:rFonts w:eastAsia="Times New Roman"/>
        </w:rPr>
      </w:pPr>
      <w:r>
        <w:rPr>
          <w:rFonts w:eastAsia="Times New Roman"/>
        </w:rPr>
        <w:t>Career interest differences vary less by student immigrations status. For instance, 16% of students native to the U.S. imagine themselves working in engineering/tech versus 19% of second-generation students and 18% of first-generation students. As for medicine, 23%, 26%, and 25% of native, second-generation, and first-generation students indicate their interest in the field.</w:t>
      </w:r>
      <w:bookmarkStart w:id="14" w:name="_GoBack"/>
      <w:bookmarkEnd w:id="14"/>
    </w:p>
    <w:p w14:paraId="3C7ED47A" w14:textId="373D5B1F" w:rsidR="009738E3" w:rsidRPr="005C1E29" w:rsidRDefault="009738E3" w:rsidP="00246CBD">
      <w:pPr>
        <w:spacing w:line="256" w:lineRule="auto"/>
      </w:pPr>
      <w:r w:rsidRPr="005C1E29">
        <w:rPr>
          <w:b/>
        </w:rPr>
        <w:t>Study Question 2:</w:t>
      </w:r>
      <w:r w:rsidR="005C1E29" w:rsidRPr="005C1E29">
        <w:t xml:space="preserve"> </w:t>
      </w:r>
      <w:r w:rsidR="005C1E29">
        <w:t>Among those students interested in science careers, to what degree are they interested in various science content areas?</w:t>
      </w:r>
    </w:p>
    <w:p w14:paraId="7975C0D3" w14:textId="66AB8388" w:rsidR="009738E3" w:rsidRPr="005C1E29" w:rsidRDefault="009738E3" w:rsidP="00246CBD">
      <w:pPr>
        <w:spacing w:line="256" w:lineRule="auto"/>
      </w:pPr>
      <w:r w:rsidRPr="005C1E29">
        <w:rPr>
          <w:b/>
        </w:rPr>
        <w:t>Study Question 3:</w:t>
      </w:r>
      <w:r w:rsidR="005C1E29" w:rsidRPr="005C1E29">
        <w:t xml:space="preserve"> </w:t>
      </w:r>
      <w:r w:rsidR="005C1E29">
        <w:t>Are the careers of students’ parents associated with the careers students expect to have themselves?</w:t>
      </w:r>
    </w:p>
    <w:p w14:paraId="27EDEABD" w14:textId="0D4CF5A3" w:rsidR="009738E3" w:rsidRPr="00451694" w:rsidRDefault="009738E3" w:rsidP="00CB09DD">
      <w:pPr>
        <w:rPr>
          <w:b/>
        </w:rPr>
      </w:pPr>
      <w:r w:rsidRPr="00451694">
        <w:rPr>
          <w:b/>
        </w:rPr>
        <w:t>Learn More</w:t>
      </w:r>
    </w:p>
    <w:p w14:paraId="6D18864F" w14:textId="76A2ECDB" w:rsidR="00193DE8" w:rsidRPr="00451694" w:rsidRDefault="009738E3" w:rsidP="008B2F79">
      <w:pPr>
        <w:rPr>
          <w:b/>
        </w:rPr>
      </w:pPr>
      <w:r w:rsidRPr="00451694">
        <w:rPr>
          <w:b/>
        </w:rPr>
        <w:t>Technical Notes</w:t>
      </w:r>
    </w:p>
    <w:p w14:paraId="60E571B8" w14:textId="77777777" w:rsidR="005E1E5E" w:rsidRPr="00451694" w:rsidRDefault="005E1E5E" w:rsidP="008B2F79">
      <w:pPr>
        <w:rPr>
          <w:b/>
        </w:rPr>
      </w:pPr>
      <w:r w:rsidRPr="00451694">
        <w:rPr>
          <w:b/>
        </w:rPr>
        <w:t>References</w:t>
      </w:r>
    </w:p>
    <w:p w14:paraId="5D4884C5" w14:textId="77777777" w:rsidR="005E1E5E" w:rsidRPr="00451694" w:rsidRDefault="005E1E5E" w:rsidP="008B2F79">
      <w:r w:rsidRPr="00451694">
        <w:t>OECD (2013), "What Makes Urban Schools Different?", PISA in Focus, No. 28, OECD Publishing, Paris.</w:t>
      </w:r>
    </w:p>
    <w:sectPr w:rsidR="005E1E5E" w:rsidRPr="004516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ll, Marissa" w:date="2018-05-22T16:26:00Z" w:initials="MH">
    <w:p w14:paraId="75134F7E" w14:textId="735088C6" w:rsidR="00015EC2" w:rsidRDefault="00015EC2">
      <w:pPr>
        <w:pStyle w:val="CommentText"/>
      </w:pPr>
      <w:r>
        <w:rPr>
          <w:rStyle w:val="CommentReference"/>
        </w:rPr>
        <w:annotationRef/>
      </w:r>
      <w:r>
        <w:t>PG?</w:t>
      </w:r>
    </w:p>
  </w:comment>
  <w:comment w:id="2" w:author="Hall, Marissa" w:date="2018-05-22T16:00:00Z" w:initials="MH">
    <w:p w14:paraId="446D90F7" w14:textId="77777777" w:rsidR="00BA72A5" w:rsidRDefault="00FA414A">
      <w:pPr>
        <w:pStyle w:val="CommentText"/>
      </w:pPr>
      <w:r>
        <w:rPr>
          <w:rStyle w:val="CommentReference"/>
        </w:rPr>
        <w:annotationRef/>
      </w:r>
      <w:r>
        <w:t xml:space="preserve">Consider science attitudes, too (i.e., </w:t>
      </w:r>
      <w:r w:rsidR="00C451B8">
        <w:t xml:space="preserve">those </w:t>
      </w:r>
      <w:r>
        <w:t>related to JG’s CIES presentation)</w:t>
      </w:r>
    </w:p>
    <w:p w14:paraId="207A868B" w14:textId="77777777" w:rsidR="00BA72A5" w:rsidRDefault="00BA72A5">
      <w:pPr>
        <w:pStyle w:val="CommentText"/>
      </w:pPr>
    </w:p>
    <w:p w14:paraId="2A46CF92" w14:textId="3D30D063" w:rsidR="00FA414A" w:rsidRDefault="00BA72A5">
      <w:pPr>
        <w:pStyle w:val="CommentText"/>
      </w:pPr>
      <w:r>
        <w:t>Do we mention parents here? Or is that considered demographic?</w:t>
      </w:r>
      <w:r w:rsidR="00FA414A">
        <w:t xml:space="preserve"> </w:t>
      </w:r>
    </w:p>
  </w:comment>
  <w:comment w:id="10" w:author="Gerez, Julian" w:date="2018-05-22T14:04:00Z" w:initials="GJ">
    <w:p w14:paraId="05BB3F81" w14:textId="77777777" w:rsidR="000119F4" w:rsidRDefault="000119F4">
      <w:pPr>
        <w:pStyle w:val="CommentText"/>
      </w:pPr>
      <w:r>
        <w:rPr>
          <w:rStyle w:val="CommentReference"/>
        </w:rPr>
        <w:annotationRef/>
      </w:r>
      <w:r>
        <w:t>This is lifted straight from Yuqi so we should change the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134F7E" w15:done="0"/>
  <w15:commentEx w15:paraId="2A46CF92" w15:done="0"/>
  <w15:commentEx w15:paraId="05BB3F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34F7E" w16cid:durableId="1EAEC319"/>
  <w16cid:commentId w16cid:paraId="2A46CF92" w16cid:durableId="1EAEBD13"/>
  <w16cid:commentId w16cid:paraId="05BB3F81" w16cid:durableId="1EAEA1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F36"/>
    <w:multiLevelType w:val="hybridMultilevel"/>
    <w:tmpl w:val="2A3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5EC"/>
    <w:multiLevelType w:val="hybridMultilevel"/>
    <w:tmpl w:val="7A4A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ll, Marissa">
    <w15:presenceInfo w15:providerId="None" w15:userId="Hall, Marissa"/>
  </w15:person>
  <w15:person w15:author="Gerez, Julian">
    <w15:presenceInfo w15:providerId="AD" w15:userId="S-1-5-21-1472932569-214068005-926709054-77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3C"/>
    <w:rsid w:val="000119F4"/>
    <w:rsid w:val="00015EC2"/>
    <w:rsid w:val="00021D6A"/>
    <w:rsid w:val="00193DE8"/>
    <w:rsid w:val="002041F6"/>
    <w:rsid w:val="002307A4"/>
    <w:rsid w:val="00246CBD"/>
    <w:rsid w:val="0026470E"/>
    <w:rsid w:val="002B7ECF"/>
    <w:rsid w:val="0030718A"/>
    <w:rsid w:val="00326D4D"/>
    <w:rsid w:val="00347AE3"/>
    <w:rsid w:val="00370D0B"/>
    <w:rsid w:val="00445910"/>
    <w:rsid w:val="00451694"/>
    <w:rsid w:val="00491FC3"/>
    <w:rsid w:val="00561714"/>
    <w:rsid w:val="005713A9"/>
    <w:rsid w:val="005970AF"/>
    <w:rsid w:val="005C1E29"/>
    <w:rsid w:val="005E1E5E"/>
    <w:rsid w:val="005E4B91"/>
    <w:rsid w:val="00670B67"/>
    <w:rsid w:val="00700B3C"/>
    <w:rsid w:val="0071263D"/>
    <w:rsid w:val="00754E1F"/>
    <w:rsid w:val="008B2F79"/>
    <w:rsid w:val="009738E3"/>
    <w:rsid w:val="009B028C"/>
    <w:rsid w:val="00A823A3"/>
    <w:rsid w:val="00AF5E4B"/>
    <w:rsid w:val="00B60AAD"/>
    <w:rsid w:val="00BA72A5"/>
    <w:rsid w:val="00BD7924"/>
    <w:rsid w:val="00BE063A"/>
    <w:rsid w:val="00C047C1"/>
    <w:rsid w:val="00C07825"/>
    <w:rsid w:val="00C2408D"/>
    <w:rsid w:val="00C451B8"/>
    <w:rsid w:val="00C8384B"/>
    <w:rsid w:val="00CB09DD"/>
    <w:rsid w:val="00E00BD3"/>
    <w:rsid w:val="00E35F91"/>
    <w:rsid w:val="00E84083"/>
    <w:rsid w:val="00EA718B"/>
    <w:rsid w:val="00EC3B4B"/>
    <w:rsid w:val="00F9191C"/>
    <w:rsid w:val="00FA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5C17"/>
  <w15:chartTrackingRefBased/>
  <w15:docId w15:val="{F1BB0620-5AF1-415C-BF20-751E55E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A9"/>
    <w:pPr>
      <w:ind w:left="720"/>
      <w:contextualSpacing/>
    </w:pPr>
  </w:style>
  <w:style w:type="character" w:styleId="CommentReference">
    <w:name w:val="annotation reference"/>
    <w:basedOn w:val="DefaultParagraphFont"/>
    <w:uiPriority w:val="99"/>
    <w:semiHidden/>
    <w:unhideWhenUsed/>
    <w:rsid w:val="000119F4"/>
    <w:rPr>
      <w:sz w:val="16"/>
      <w:szCs w:val="16"/>
    </w:rPr>
  </w:style>
  <w:style w:type="paragraph" w:styleId="CommentText">
    <w:name w:val="annotation text"/>
    <w:basedOn w:val="Normal"/>
    <w:link w:val="CommentTextChar"/>
    <w:uiPriority w:val="99"/>
    <w:semiHidden/>
    <w:unhideWhenUsed/>
    <w:rsid w:val="000119F4"/>
    <w:pPr>
      <w:spacing w:line="240" w:lineRule="auto"/>
    </w:pPr>
    <w:rPr>
      <w:sz w:val="20"/>
      <w:szCs w:val="20"/>
    </w:rPr>
  </w:style>
  <w:style w:type="character" w:customStyle="1" w:styleId="CommentTextChar">
    <w:name w:val="Comment Text Char"/>
    <w:basedOn w:val="DefaultParagraphFont"/>
    <w:link w:val="CommentText"/>
    <w:uiPriority w:val="99"/>
    <w:semiHidden/>
    <w:rsid w:val="000119F4"/>
    <w:rPr>
      <w:sz w:val="20"/>
      <w:szCs w:val="20"/>
    </w:rPr>
  </w:style>
  <w:style w:type="paragraph" w:styleId="CommentSubject">
    <w:name w:val="annotation subject"/>
    <w:basedOn w:val="CommentText"/>
    <w:next w:val="CommentText"/>
    <w:link w:val="CommentSubjectChar"/>
    <w:uiPriority w:val="99"/>
    <w:semiHidden/>
    <w:unhideWhenUsed/>
    <w:rsid w:val="000119F4"/>
    <w:rPr>
      <w:b/>
      <w:bCs/>
    </w:rPr>
  </w:style>
  <w:style w:type="character" w:customStyle="1" w:styleId="CommentSubjectChar">
    <w:name w:val="Comment Subject Char"/>
    <w:basedOn w:val="CommentTextChar"/>
    <w:link w:val="CommentSubject"/>
    <w:uiPriority w:val="99"/>
    <w:semiHidden/>
    <w:rsid w:val="000119F4"/>
    <w:rPr>
      <w:b/>
      <w:bCs/>
      <w:sz w:val="20"/>
      <w:szCs w:val="20"/>
    </w:rPr>
  </w:style>
  <w:style w:type="paragraph" w:styleId="BalloonText">
    <w:name w:val="Balloon Text"/>
    <w:basedOn w:val="Normal"/>
    <w:link w:val="BalloonTextChar"/>
    <w:uiPriority w:val="99"/>
    <w:semiHidden/>
    <w:unhideWhenUsed/>
    <w:rsid w:val="000119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9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4919">
      <w:bodyDiv w:val="1"/>
      <w:marLeft w:val="0"/>
      <w:marRight w:val="0"/>
      <w:marTop w:val="0"/>
      <w:marBottom w:val="0"/>
      <w:divBdr>
        <w:top w:val="none" w:sz="0" w:space="0" w:color="auto"/>
        <w:left w:val="none" w:sz="0" w:space="0" w:color="auto"/>
        <w:bottom w:val="none" w:sz="0" w:space="0" w:color="auto"/>
        <w:right w:val="none" w:sz="0" w:space="0" w:color="auto"/>
      </w:divBdr>
    </w:div>
    <w:div w:id="303585146">
      <w:bodyDiv w:val="1"/>
      <w:marLeft w:val="0"/>
      <w:marRight w:val="0"/>
      <w:marTop w:val="0"/>
      <w:marBottom w:val="0"/>
      <w:divBdr>
        <w:top w:val="none" w:sz="0" w:space="0" w:color="auto"/>
        <w:left w:val="none" w:sz="0" w:space="0" w:color="auto"/>
        <w:bottom w:val="none" w:sz="0" w:space="0" w:color="auto"/>
        <w:right w:val="none" w:sz="0" w:space="0" w:color="auto"/>
      </w:divBdr>
    </w:div>
    <w:div w:id="330184204">
      <w:bodyDiv w:val="1"/>
      <w:marLeft w:val="0"/>
      <w:marRight w:val="0"/>
      <w:marTop w:val="0"/>
      <w:marBottom w:val="0"/>
      <w:divBdr>
        <w:top w:val="none" w:sz="0" w:space="0" w:color="auto"/>
        <w:left w:val="none" w:sz="0" w:space="0" w:color="auto"/>
        <w:bottom w:val="none" w:sz="0" w:space="0" w:color="auto"/>
        <w:right w:val="none" w:sz="0" w:space="0" w:color="auto"/>
      </w:divBdr>
    </w:div>
    <w:div w:id="361057077">
      <w:bodyDiv w:val="1"/>
      <w:marLeft w:val="0"/>
      <w:marRight w:val="0"/>
      <w:marTop w:val="0"/>
      <w:marBottom w:val="0"/>
      <w:divBdr>
        <w:top w:val="none" w:sz="0" w:space="0" w:color="auto"/>
        <w:left w:val="none" w:sz="0" w:space="0" w:color="auto"/>
        <w:bottom w:val="none" w:sz="0" w:space="0" w:color="auto"/>
        <w:right w:val="none" w:sz="0" w:space="0" w:color="auto"/>
      </w:divBdr>
    </w:div>
    <w:div w:id="965698889">
      <w:bodyDiv w:val="1"/>
      <w:marLeft w:val="0"/>
      <w:marRight w:val="0"/>
      <w:marTop w:val="0"/>
      <w:marBottom w:val="0"/>
      <w:divBdr>
        <w:top w:val="none" w:sz="0" w:space="0" w:color="auto"/>
        <w:left w:val="none" w:sz="0" w:space="0" w:color="auto"/>
        <w:bottom w:val="none" w:sz="0" w:space="0" w:color="auto"/>
        <w:right w:val="none" w:sz="0" w:space="0" w:color="auto"/>
      </w:divBdr>
    </w:div>
    <w:div w:id="1129128131">
      <w:bodyDiv w:val="1"/>
      <w:marLeft w:val="0"/>
      <w:marRight w:val="0"/>
      <w:marTop w:val="0"/>
      <w:marBottom w:val="0"/>
      <w:divBdr>
        <w:top w:val="none" w:sz="0" w:space="0" w:color="auto"/>
        <w:left w:val="none" w:sz="0" w:space="0" w:color="auto"/>
        <w:bottom w:val="none" w:sz="0" w:space="0" w:color="auto"/>
        <w:right w:val="none" w:sz="0" w:space="0" w:color="auto"/>
      </w:divBdr>
    </w:div>
    <w:div w:id="1475178195">
      <w:bodyDiv w:val="1"/>
      <w:marLeft w:val="0"/>
      <w:marRight w:val="0"/>
      <w:marTop w:val="0"/>
      <w:marBottom w:val="0"/>
      <w:divBdr>
        <w:top w:val="none" w:sz="0" w:space="0" w:color="auto"/>
        <w:left w:val="none" w:sz="0" w:space="0" w:color="auto"/>
        <w:bottom w:val="none" w:sz="0" w:space="0" w:color="auto"/>
        <w:right w:val="none" w:sz="0" w:space="0" w:color="auto"/>
      </w:divBdr>
    </w:div>
    <w:div w:id="182743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41</cp:revision>
  <dcterms:created xsi:type="dcterms:W3CDTF">2018-05-18T16:39:00Z</dcterms:created>
  <dcterms:modified xsi:type="dcterms:W3CDTF">2018-05-23T12:43:00Z</dcterms:modified>
</cp:coreProperties>
</file>