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5243" w14:textId="6A8127F8" w:rsidR="00C2106F" w:rsidRPr="00C2106F" w:rsidRDefault="00C2106F" w:rsidP="00C2106F">
      <w:pPr>
        <w:spacing w:after="0" w:line="240" w:lineRule="auto"/>
        <w:jc w:val="both"/>
        <w:rPr>
          <w:rFonts w:ascii="Gill Sans MT" w:hAnsi="Gill Sans MT"/>
          <w:b/>
          <w:bCs/>
          <w:lang w:val="en-LR"/>
        </w:rPr>
      </w:pPr>
      <w:r w:rsidRPr="003515BC">
        <w:rPr>
          <w:rFonts w:ascii="Gill Sans MT" w:hAnsi="Gill Sans MT"/>
          <w:noProof/>
        </w:rPr>
        <w:drawing>
          <wp:anchor distT="0" distB="0" distL="114300" distR="114300" simplePos="0" relativeHeight="251659264" behindDoc="0" locked="0" layoutInCell="1" allowOverlap="1" wp14:anchorId="755DF8ED" wp14:editId="77E747CE">
            <wp:simplePos x="0" y="0"/>
            <wp:positionH relativeFrom="margin">
              <wp:align>center</wp:align>
            </wp:positionH>
            <wp:positionV relativeFrom="paragraph">
              <wp:posOffset>-775411</wp:posOffset>
            </wp:positionV>
            <wp:extent cx="1983105" cy="636905"/>
            <wp:effectExtent l="0" t="0" r="0" b="0"/>
            <wp:wrapNone/>
            <wp:docPr id="510582079" name="image1.png"/>
            <wp:cNvGraphicFramePr/>
            <a:graphic xmlns:a="http://schemas.openxmlformats.org/drawingml/2006/main">
              <a:graphicData uri="http://schemas.openxmlformats.org/drawingml/2006/picture">
                <pic:pic xmlns:pic="http://schemas.openxmlformats.org/drawingml/2006/picture">
                  <pic:nvPicPr>
                    <pic:cNvPr id="510582079" name="image1.png"/>
                    <pic:cNvPicPr/>
                  </pic:nvPicPr>
                  <pic:blipFill rotWithShape="1">
                    <a:blip r:embed="rId4"/>
                    <a:srcRect t="18112" b="26995"/>
                    <a:stretch>
                      <a:fillRect/>
                    </a:stretch>
                  </pic:blipFill>
                  <pic:spPr bwMode="auto">
                    <a:xfrm>
                      <a:off x="0" y="0"/>
                      <a:ext cx="1983105" cy="636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06F">
        <w:rPr>
          <w:rFonts w:ascii="Gill Sans MT" w:hAnsi="Gill Sans MT"/>
          <w:b/>
          <w:bCs/>
          <w:lang w:val="en-LR"/>
        </w:rPr>
        <w:t>BASA DEVELOPMENT INITIATIVES</w:t>
      </w:r>
    </w:p>
    <w:p w14:paraId="34B8B260" w14:textId="75280333" w:rsidR="00C2106F" w:rsidRDefault="00C2106F" w:rsidP="00C2106F">
      <w:pPr>
        <w:spacing w:after="0" w:line="240" w:lineRule="auto"/>
        <w:rPr>
          <w:rFonts w:ascii="Gill Sans MT" w:hAnsi="Gill Sans MT"/>
          <w:b/>
          <w:bCs/>
          <w:lang w:val="en-LR"/>
        </w:rPr>
      </w:pPr>
      <w:r w:rsidRPr="00C2106F">
        <w:rPr>
          <w:rFonts w:ascii="Gill Sans MT" w:hAnsi="Gill Sans MT"/>
          <w:b/>
          <w:bCs/>
          <w:lang w:val="en-LR"/>
        </w:rPr>
        <w:t xml:space="preserve">Policy and Standard Operating Procedures on Victim Assistance and Referral Pathways </w:t>
      </w:r>
    </w:p>
    <w:p w14:paraId="65F4855C" w14:textId="77777777" w:rsidR="00C2106F" w:rsidRPr="00C2106F" w:rsidRDefault="00C2106F" w:rsidP="00C2106F">
      <w:pPr>
        <w:spacing w:after="0" w:line="240" w:lineRule="auto"/>
        <w:rPr>
          <w:rFonts w:ascii="Gill Sans MT" w:hAnsi="Gill Sans MT"/>
          <w:b/>
          <w:bCs/>
          <w:lang w:val="en-LR"/>
        </w:rPr>
      </w:pPr>
    </w:p>
    <w:p w14:paraId="0D266EDF" w14:textId="0E876498" w:rsidR="00C2106F" w:rsidRDefault="00C2106F" w:rsidP="00C2106F">
      <w:pPr>
        <w:spacing w:after="0" w:line="240" w:lineRule="auto"/>
        <w:rPr>
          <w:rFonts w:ascii="Gill Sans MT" w:hAnsi="Gill Sans MT"/>
          <w:lang w:val="en-LR"/>
        </w:rPr>
      </w:pPr>
      <w:r w:rsidRPr="00C2106F">
        <w:rPr>
          <w:rFonts w:ascii="Gill Sans MT" w:hAnsi="Gill Sans MT"/>
          <w:b/>
          <w:bCs/>
          <w:lang w:val="en-LR"/>
        </w:rPr>
        <w:t>Effective Date:</w:t>
      </w:r>
      <w:r w:rsidRPr="00C2106F">
        <w:rPr>
          <w:rFonts w:ascii="Gill Sans MT" w:hAnsi="Gill Sans MT"/>
          <w:lang w:val="en-LR"/>
        </w:rPr>
        <w:t xml:space="preserve"> </w:t>
      </w:r>
      <w:r>
        <w:rPr>
          <w:rFonts w:ascii="Gill Sans MT" w:hAnsi="Gill Sans MT"/>
          <w:lang w:val="en-LR"/>
        </w:rPr>
        <w:t>15 January 2026</w:t>
      </w:r>
      <w:r w:rsidRPr="00C2106F">
        <w:rPr>
          <w:rFonts w:ascii="Gill Sans MT" w:hAnsi="Gill Sans MT"/>
          <w:lang w:val="en-LR"/>
        </w:rPr>
        <w:br/>
      </w:r>
      <w:r w:rsidRPr="00C2106F">
        <w:rPr>
          <w:rFonts w:ascii="Gill Sans MT" w:hAnsi="Gill Sans MT"/>
          <w:b/>
          <w:bCs/>
          <w:lang w:val="en-LR"/>
        </w:rPr>
        <w:t>Approved by:</w:t>
      </w:r>
      <w:r w:rsidRPr="00C2106F">
        <w:rPr>
          <w:rFonts w:ascii="Gill Sans MT" w:hAnsi="Gill Sans MT"/>
          <w:lang w:val="en-LR"/>
        </w:rPr>
        <w:t xml:space="preserve"> Board of Directors</w:t>
      </w:r>
      <w:r w:rsidRPr="00C2106F">
        <w:rPr>
          <w:rFonts w:ascii="Gill Sans MT" w:hAnsi="Gill Sans MT"/>
          <w:lang w:val="en-LR"/>
        </w:rPr>
        <w:br/>
      </w:r>
      <w:r w:rsidRPr="00C2106F">
        <w:rPr>
          <w:rFonts w:ascii="Gill Sans MT" w:hAnsi="Gill Sans MT"/>
          <w:b/>
          <w:bCs/>
          <w:lang w:val="en-LR"/>
        </w:rPr>
        <w:t>Policy Owner:</w:t>
      </w:r>
      <w:r w:rsidRPr="00C2106F">
        <w:rPr>
          <w:rFonts w:ascii="Gill Sans MT" w:hAnsi="Gill Sans MT"/>
          <w:lang w:val="en-LR"/>
        </w:rPr>
        <w:t xml:space="preserve"> Safeguarding / PSEA Focal Point</w:t>
      </w:r>
      <w:r w:rsidRPr="00C2106F">
        <w:rPr>
          <w:rFonts w:ascii="Gill Sans MT" w:hAnsi="Gill Sans MT"/>
          <w:lang w:val="en-LR"/>
        </w:rPr>
        <w:br/>
      </w:r>
      <w:r w:rsidRPr="00C2106F">
        <w:rPr>
          <w:rFonts w:ascii="Gill Sans MT" w:hAnsi="Gill Sans MT"/>
          <w:b/>
          <w:bCs/>
          <w:lang w:val="en-LR"/>
        </w:rPr>
        <w:t>Applies to:</w:t>
      </w:r>
      <w:r w:rsidRPr="00C2106F">
        <w:rPr>
          <w:rFonts w:ascii="Gill Sans MT" w:hAnsi="Gill Sans MT"/>
          <w:lang w:val="en-LR"/>
        </w:rPr>
        <w:t xml:space="preserve"> All programmes, personnel, partners, and locations</w:t>
      </w:r>
    </w:p>
    <w:p w14:paraId="35146B28" w14:textId="77777777" w:rsidR="00C2106F" w:rsidRPr="00C2106F" w:rsidRDefault="00C2106F" w:rsidP="00C2106F">
      <w:pPr>
        <w:spacing w:after="0" w:line="240" w:lineRule="auto"/>
        <w:rPr>
          <w:rFonts w:ascii="Gill Sans MT" w:hAnsi="Gill Sans MT"/>
          <w:lang w:val="en-LR"/>
        </w:rPr>
      </w:pPr>
    </w:p>
    <w:p w14:paraId="16781DDB"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Purpose</w:t>
      </w:r>
    </w:p>
    <w:p w14:paraId="33E1A05A" w14:textId="0A3A1C62"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This policy establishes BASA Development Initiatives’ commitment and procedures for providing timely, safe, and survivor-centred assistance to victims and survivors of sexual exploitation, abuse, and other safeguarding violations linked to BDI’s operations. The policy ensures that survivors receive appropriate support through confidential referrals to specialized services and that BDI fulfils its duty of care in line with donor safeguarding requirements, national laws, and community protection systems.</w:t>
      </w:r>
    </w:p>
    <w:p w14:paraId="4E617358" w14:textId="77777777" w:rsidR="00C2106F" w:rsidRPr="00C2106F" w:rsidRDefault="00C2106F" w:rsidP="00C2106F">
      <w:pPr>
        <w:spacing w:after="0" w:line="240" w:lineRule="auto"/>
        <w:jc w:val="both"/>
        <w:rPr>
          <w:rFonts w:ascii="Gill Sans MT" w:hAnsi="Gill Sans MT"/>
          <w:lang w:val="en-LR"/>
        </w:rPr>
      </w:pPr>
    </w:p>
    <w:p w14:paraId="71D17362"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Scope and Applicability</w:t>
      </w:r>
    </w:p>
    <w:p w14:paraId="5D776408" w14:textId="23ADF9BE"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This policy applies to all incidents of sexual exploitation, sexual abuse, or related safeguarding concerns involving BDI personnel, representatives, partners, or activities, regardless of whether the incident occurred on or off duty. It covers adult and child survivors, as well as caregivers and dependents, across all BDI operational locations.</w:t>
      </w:r>
    </w:p>
    <w:p w14:paraId="1A6CE65B" w14:textId="77777777" w:rsidR="00C2106F" w:rsidRPr="00C2106F" w:rsidRDefault="00C2106F" w:rsidP="00C2106F">
      <w:pPr>
        <w:spacing w:after="0" w:line="240" w:lineRule="auto"/>
        <w:jc w:val="both"/>
        <w:rPr>
          <w:rFonts w:ascii="Gill Sans MT" w:hAnsi="Gill Sans MT"/>
          <w:lang w:val="en-LR"/>
        </w:rPr>
      </w:pPr>
    </w:p>
    <w:p w14:paraId="48456BC2"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Guiding Principles for Victim Assistance</w:t>
      </w:r>
    </w:p>
    <w:p w14:paraId="08AA53C5" w14:textId="191928CC"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BDI applies a survivor-centred and child-sensitive approach to all victim assistance. This means prioritizing the safety, dignity, rights, wishes, and wellbeing of survivors at all stages of response. Assistance shall be provided without discrimination, coercion, or judgement, and survivors shall not be required to participate in investigations or report to authorities as a condition for receiving support. In cases involving children, the best interests of the child shall guide all decisions.</w:t>
      </w:r>
    </w:p>
    <w:p w14:paraId="1EFB4875" w14:textId="77777777" w:rsidR="00C2106F" w:rsidRPr="00C2106F" w:rsidRDefault="00C2106F" w:rsidP="00C2106F">
      <w:pPr>
        <w:spacing w:after="0" w:line="240" w:lineRule="auto"/>
        <w:jc w:val="both"/>
        <w:rPr>
          <w:rFonts w:ascii="Gill Sans MT" w:hAnsi="Gill Sans MT"/>
          <w:lang w:val="en-LR"/>
        </w:rPr>
      </w:pPr>
    </w:p>
    <w:p w14:paraId="095C6524"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Commitment to Victim Assistance</w:t>
      </w:r>
    </w:p>
    <w:p w14:paraId="0C2D3514" w14:textId="17A21721"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 xml:space="preserve">BDI commits to ensuring that victims and survivors have access to appropriate and timely assistance following a disclosure or report. This includes facilitating referrals to health, psychosocial, legal, protection, and shelter services, as appropriate to the survivor’s needs and context. BDI does not provide clinical or legal services directly unless formally mandated and resourced to do </w:t>
      </w:r>
      <w:proofErr w:type="gramStart"/>
      <w:r w:rsidRPr="00C2106F">
        <w:rPr>
          <w:rFonts w:ascii="Gill Sans MT" w:hAnsi="Gill Sans MT"/>
          <w:lang w:val="en-LR"/>
        </w:rPr>
        <w:t>so, but</w:t>
      </w:r>
      <w:proofErr w:type="gramEnd"/>
      <w:r w:rsidRPr="00C2106F">
        <w:rPr>
          <w:rFonts w:ascii="Gill Sans MT" w:hAnsi="Gill Sans MT"/>
          <w:lang w:val="en-LR"/>
        </w:rPr>
        <w:t xml:space="preserve"> acts as a facilitator to ensure survivors are connected to qualified service providers.</w:t>
      </w:r>
    </w:p>
    <w:p w14:paraId="02EA5445" w14:textId="77777777" w:rsidR="00C2106F" w:rsidRPr="00C2106F" w:rsidRDefault="00C2106F" w:rsidP="00C2106F">
      <w:pPr>
        <w:spacing w:after="0" w:line="240" w:lineRule="auto"/>
        <w:jc w:val="both"/>
        <w:rPr>
          <w:rFonts w:ascii="Gill Sans MT" w:hAnsi="Gill Sans MT"/>
          <w:lang w:val="en-LR"/>
        </w:rPr>
      </w:pPr>
    </w:p>
    <w:p w14:paraId="3D5A019B"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Immediate Response and Safety Measures</w:t>
      </w:r>
    </w:p>
    <w:p w14:paraId="2C0CB8D4" w14:textId="7BFBA6B1"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Upon receiving a disclosure or report, BDI personnel must prioritize the immediate safety and wellbeing of the survivor. This includes listening respectfully, maintaining confidentiality, avoiding repeated questioning, and refraining from making promises about outcomes. Where there is an immediate risk of harm, urgent steps shall be taken to secure the survivor’s safety, including emergency referrals, temporary protective measures, or coordination with relevant authorities, in line with national law and survivor consent.</w:t>
      </w:r>
    </w:p>
    <w:p w14:paraId="5629E314" w14:textId="77777777" w:rsidR="00C2106F" w:rsidRPr="00C2106F" w:rsidRDefault="00C2106F" w:rsidP="00C2106F">
      <w:pPr>
        <w:spacing w:after="0" w:line="240" w:lineRule="auto"/>
        <w:jc w:val="both"/>
        <w:rPr>
          <w:rFonts w:ascii="Gill Sans MT" w:hAnsi="Gill Sans MT"/>
          <w:lang w:val="en-LR"/>
        </w:rPr>
      </w:pPr>
    </w:p>
    <w:p w14:paraId="7F1B63D2"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Referral Pathways and Service Mapping</w:t>
      </w:r>
    </w:p>
    <w:p w14:paraId="3B5B1260" w14:textId="3ED2BBD2"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BDI shall establish, maintain, and regularly update referral pathways for each operational area. These pathways will map available services, including health facilities, psychosocial support providers, legal aid services, child-protection authorities, safe shelters, and community-based protection mechanisms. Referral pathways must include contact details, geographic coverage, operating hours, eligibility criteria, and referral protocols.</w:t>
      </w:r>
      <w:r>
        <w:rPr>
          <w:rFonts w:ascii="Gill Sans MT" w:hAnsi="Gill Sans MT"/>
          <w:lang w:val="en-LR"/>
        </w:rPr>
        <w:t xml:space="preserve"> </w:t>
      </w:r>
      <w:r w:rsidRPr="00C2106F">
        <w:rPr>
          <w:rFonts w:ascii="Gill Sans MT" w:hAnsi="Gill Sans MT"/>
          <w:lang w:val="en-LR"/>
        </w:rPr>
        <w:t>Service mappings shall be tailored to each county or project location and reflect realistic access options for survivors, including rural and hard-to-reach areas. Where gaps in services exist, BDI shall document these gaps and explore interim mitigation measures, including partnerships or temporary support arrangements.</w:t>
      </w:r>
    </w:p>
    <w:p w14:paraId="795A31FD" w14:textId="77777777" w:rsidR="00C2106F" w:rsidRPr="00C2106F" w:rsidRDefault="00C2106F" w:rsidP="00C2106F">
      <w:pPr>
        <w:spacing w:after="0" w:line="240" w:lineRule="auto"/>
        <w:jc w:val="both"/>
        <w:rPr>
          <w:rFonts w:ascii="Gill Sans MT" w:hAnsi="Gill Sans MT"/>
          <w:lang w:val="en-LR"/>
        </w:rPr>
      </w:pPr>
    </w:p>
    <w:p w14:paraId="2FDCC4EB"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lastRenderedPageBreak/>
        <w:t>Consent and Confidentiality in Referrals</w:t>
      </w:r>
    </w:p>
    <w:p w14:paraId="67D0C02E" w14:textId="38FAF7D1"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Referrals shall only be made with the informed consent of the survivor or, in the case of children, their legal guardian, except where mandatory reporting obligations apply under national law. Survivors shall be informed of available options and supported to make decisions without pressure. All information related to the survivor and the incident shall be shared strictly on a need-to-know basis and handled in accordance with data-protection standards.</w:t>
      </w:r>
    </w:p>
    <w:p w14:paraId="74BD4E25" w14:textId="77777777" w:rsidR="00C2106F" w:rsidRPr="00C2106F" w:rsidRDefault="00C2106F" w:rsidP="00C2106F">
      <w:pPr>
        <w:spacing w:after="0" w:line="240" w:lineRule="auto"/>
        <w:jc w:val="both"/>
        <w:rPr>
          <w:rFonts w:ascii="Gill Sans MT" w:hAnsi="Gill Sans MT"/>
          <w:lang w:val="en-LR"/>
        </w:rPr>
      </w:pPr>
    </w:p>
    <w:p w14:paraId="4E69904F"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Special Considerations for Child Survivors</w:t>
      </w:r>
    </w:p>
    <w:p w14:paraId="0C7A0AAC" w14:textId="092D5DF5"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In cases involving children, BDI shall follow child-protection procedures and national child-welfare frameworks. Referrals shall prioritize child-appropriate health and psychosocial services, and coordination with statutory child-protection authorities shall be undertaken where legally required. All actions must prioritize the child’s safety and best interests and avoid exposing the child to further harm or stigma.</w:t>
      </w:r>
    </w:p>
    <w:p w14:paraId="4F65E122" w14:textId="77777777" w:rsidR="00C2106F" w:rsidRPr="00C2106F" w:rsidRDefault="00C2106F" w:rsidP="00C2106F">
      <w:pPr>
        <w:spacing w:after="0" w:line="240" w:lineRule="auto"/>
        <w:jc w:val="both"/>
        <w:rPr>
          <w:rFonts w:ascii="Gill Sans MT" w:hAnsi="Gill Sans MT"/>
          <w:lang w:val="en-LR"/>
        </w:rPr>
      </w:pPr>
    </w:p>
    <w:p w14:paraId="40F81C69"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Roles and Responsibilities</w:t>
      </w:r>
    </w:p>
    <w:p w14:paraId="45779A5E" w14:textId="08FABD2A"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Senior management is responsible for ensuring institutional commitment, resourcing, and oversight of victim assistance systems. The Safeguarding or PSEA Focal Point is responsible for maintaining referral pathways, coordinating assistance, liaising with service providers, and ensuring survivor-centred responses. Programme and field staff are responsible for responding appropriately to disclosures, facilitating referrals, and maintaining confidentiality. Partners are required to align with this policy and cooperate in referral processes.</w:t>
      </w:r>
    </w:p>
    <w:p w14:paraId="07B3DB92" w14:textId="77777777" w:rsidR="00C2106F" w:rsidRPr="00C2106F" w:rsidRDefault="00C2106F" w:rsidP="00C2106F">
      <w:pPr>
        <w:spacing w:after="0" w:line="240" w:lineRule="auto"/>
        <w:jc w:val="both"/>
        <w:rPr>
          <w:rFonts w:ascii="Gill Sans MT" w:hAnsi="Gill Sans MT"/>
          <w:lang w:val="en-LR"/>
        </w:rPr>
      </w:pPr>
    </w:p>
    <w:p w14:paraId="1869D8A0"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Documentation and Record Management</w:t>
      </w:r>
    </w:p>
    <w:p w14:paraId="6130112F" w14:textId="181FC0A4"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All actions related to victim assistance and referrals shall be documented in a secure and confidential manner. Records shall be limited to essential information and stored separately from general programme files. Access to records shall be restricted to authorized safeguarding personnel.</w:t>
      </w:r>
    </w:p>
    <w:p w14:paraId="53EA20FA" w14:textId="77777777" w:rsidR="00C2106F" w:rsidRPr="00C2106F" w:rsidRDefault="00C2106F" w:rsidP="00C2106F">
      <w:pPr>
        <w:spacing w:after="0" w:line="240" w:lineRule="auto"/>
        <w:jc w:val="both"/>
        <w:rPr>
          <w:rFonts w:ascii="Gill Sans MT" w:hAnsi="Gill Sans MT"/>
          <w:lang w:val="en-LR"/>
        </w:rPr>
      </w:pPr>
    </w:p>
    <w:p w14:paraId="0C102433"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Monitoring, Review, and Capacity Strengthening</w:t>
      </w:r>
    </w:p>
    <w:p w14:paraId="365F4CEC" w14:textId="70977303" w:rsidR="00C2106F" w:rsidRDefault="00C2106F" w:rsidP="00C2106F">
      <w:pPr>
        <w:spacing w:after="0" w:line="240" w:lineRule="auto"/>
        <w:jc w:val="both"/>
        <w:rPr>
          <w:rFonts w:ascii="Gill Sans MT" w:hAnsi="Gill Sans MT"/>
          <w:lang w:val="en-LR"/>
        </w:rPr>
      </w:pPr>
      <w:r w:rsidRPr="00C2106F">
        <w:rPr>
          <w:rFonts w:ascii="Gill Sans MT" w:hAnsi="Gill Sans MT"/>
          <w:lang w:val="en-LR"/>
        </w:rPr>
        <w:t>BDI shall periodically review referral pathways and victim assistance procedures to ensure effectiveness, relevance, and alignment with local service availability. Staff shall receive regular training on survivor-centred response and referral protocols. Lessons learned shall inform updates to this policy and related procedures.</w:t>
      </w:r>
    </w:p>
    <w:p w14:paraId="10B1F5B7" w14:textId="77777777" w:rsidR="00C2106F" w:rsidRPr="00C2106F" w:rsidRDefault="00C2106F" w:rsidP="00C2106F">
      <w:pPr>
        <w:spacing w:after="0" w:line="240" w:lineRule="auto"/>
        <w:jc w:val="both"/>
        <w:rPr>
          <w:rFonts w:ascii="Gill Sans MT" w:hAnsi="Gill Sans MT"/>
          <w:lang w:val="en-LR"/>
        </w:rPr>
      </w:pPr>
    </w:p>
    <w:p w14:paraId="0116D6A6" w14:textId="77777777" w:rsidR="00C2106F" w:rsidRPr="00C2106F" w:rsidRDefault="00C2106F" w:rsidP="00C2106F">
      <w:pPr>
        <w:spacing w:after="0" w:line="240" w:lineRule="auto"/>
        <w:jc w:val="both"/>
        <w:rPr>
          <w:rFonts w:ascii="Gill Sans MT" w:hAnsi="Gill Sans MT"/>
          <w:b/>
          <w:bCs/>
          <w:lang w:val="en-LR"/>
        </w:rPr>
      </w:pPr>
      <w:r w:rsidRPr="00C2106F">
        <w:rPr>
          <w:rFonts w:ascii="Gill Sans MT" w:hAnsi="Gill Sans MT"/>
          <w:b/>
          <w:bCs/>
          <w:lang w:val="en-LR"/>
        </w:rPr>
        <w:t>Related Documents</w:t>
      </w:r>
    </w:p>
    <w:p w14:paraId="64355AC5" w14:textId="77777777" w:rsidR="00C2106F" w:rsidRPr="00C2106F" w:rsidRDefault="00C2106F" w:rsidP="00C2106F">
      <w:pPr>
        <w:spacing w:after="0" w:line="240" w:lineRule="auto"/>
        <w:jc w:val="both"/>
        <w:rPr>
          <w:rFonts w:ascii="Gill Sans MT" w:hAnsi="Gill Sans MT"/>
          <w:lang w:val="en-LR"/>
        </w:rPr>
      </w:pPr>
      <w:r w:rsidRPr="00C2106F">
        <w:rPr>
          <w:rFonts w:ascii="Gill Sans MT" w:hAnsi="Gill Sans MT"/>
          <w:lang w:val="en-LR"/>
        </w:rPr>
        <w:t>This policy should be read together with BDI’s PSEA Policy, Code of Conduct, Reporting and Complaints Procedures, Investigation Procedures, and Child Safeguarding Policy.</w:t>
      </w:r>
    </w:p>
    <w:p w14:paraId="30147F70" w14:textId="77777777" w:rsidR="00B04792" w:rsidRPr="00C2106F" w:rsidRDefault="00B04792" w:rsidP="00C2106F">
      <w:pPr>
        <w:spacing w:after="0" w:line="240" w:lineRule="auto"/>
        <w:jc w:val="both"/>
        <w:rPr>
          <w:rFonts w:ascii="Gill Sans MT" w:hAnsi="Gill Sans MT"/>
          <w:lang w:val="en-LR"/>
        </w:rPr>
      </w:pPr>
    </w:p>
    <w:sectPr w:rsidR="00B04792" w:rsidRPr="00C21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06F"/>
    <w:rsid w:val="00080D5A"/>
    <w:rsid w:val="00883CFD"/>
    <w:rsid w:val="00B04792"/>
    <w:rsid w:val="00C2106F"/>
    <w:rsid w:val="00E319C5"/>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7D34B"/>
  <w15:chartTrackingRefBased/>
  <w15:docId w15:val="{BB0A455C-6202-4A46-8C92-85236B8F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sz w:val="22"/>
        <w:szCs w:val="24"/>
        <w:lang w:val="en-L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0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0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10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10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0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0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0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06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0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210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210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10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10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10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1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0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0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106F"/>
    <w:pPr>
      <w:spacing w:before="160"/>
      <w:jc w:val="center"/>
    </w:pPr>
    <w:rPr>
      <w:i/>
      <w:iCs/>
      <w:color w:val="404040" w:themeColor="text1" w:themeTint="BF"/>
    </w:rPr>
  </w:style>
  <w:style w:type="character" w:customStyle="1" w:styleId="QuoteChar">
    <w:name w:val="Quote Char"/>
    <w:basedOn w:val="DefaultParagraphFont"/>
    <w:link w:val="Quote"/>
    <w:uiPriority w:val="29"/>
    <w:rsid w:val="00C2106F"/>
    <w:rPr>
      <w:i/>
      <w:iCs/>
      <w:color w:val="404040" w:themeColor="text1" w:themeTint="BF"/>
    </w:rPr>
  </w:style>
  <w:style w:type="paragraph" w:styleId="ListParagraph">
    <w:name w:val="List Paragraph"/>
    <w:basedOn w:val="Normal"/>
    <w:uiPriority w:val="34"/>
    <w:qFormat/>
    <w:rsid w:val="00C2106F"/>
    <w:pPr>
      <w:ind w:left="720"/>
      <w:contextualSpacing/>
    </w:pPr>
  </w:style>
  <w:style w:type="character" w:styleId="IntenseEmphasis">
    <w:name w:val="Intense Emphasis"/>
    <w:basedOn w:val="DefaultParagraphFont"/>
    <w:uiPriority w:val="21"/>
    <w:qFormat/>
    <w:rsid w:val="00C2106F"/>
    <w:rPr>
      <w:i/>
      <w:iCs/>
      <w:color w:val="0F4761" w:themeColor="accent1" w:themeShade="BF"/>
    </w:rPr>
  </w:style>
  <w:style w:type="paragraph" w:styleId="IntenseQuote">
    <w:name w:val="Intense Quote"/>
    <w:basedOn w:val="Normal"/>
    <w:next w:val="Normal"/>
    <w:link w:val="IntenseQuoteChar"/>
    <w:uiPriority w:val="30"/>
    <w:qFormat/>
    <w:rsid w:val="00C21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06F"/>
    <w:rPr>
      <w:i/>
      <w:iCs/>
      <w:color w:val="0F4761" w:themeColor="accent1" w:themeShade="BF"/>
    </w:rPr>
  </w:style>
  <w:style w:type="character" w:styleId="IntenseReference">
    <w:name w:val="Intense Reference"/>
    <w:basedOn w:val="DefaultParagraphFont"/>
    <w:uiPriority w:val="32"/>
    <w:qFormat/>
    <w:rsid w:val="00C210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803</Words>
  <Characters>5234</Characters>
  <Application>Microsoft Office Word</Application>
  <DocSecurity>0</DocSecurity>
  <Lines>87</Lines>
  <Paragraphs>32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Kolubah</dc:creator>
  <cp:keywords/>
  <dc:description/>
  <cp:lastModifiedBy>Tarnue Kolubah</cp:lastModifiedBy>
  <cp:revision>1</cp:revision>
  <dcterms:created xsi:type="dcterms:W3CDTF">2026-02-16T23:01:00Z</dcterms:created>
  <dcterms:modified xsi:type="dcterms:W3CDTF">2026-02-16T23:05:00Z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126a7b77-8e86-48e8-969b-cd0be7600b22</vt:lpwstr>
  </property>
</Properties>
</file>