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4170EB5D" w:rsidR="0044622D" w:rsidRDefault="00B74750" w:rsidP="00824168">
      <w:pPr>
        <w:pStyle w:val="AIETitle"/>
      </w:pPr>
      <w:r>
        <w:t>Physics for Games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6A48B7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17BC7AD9" w:rsidR="006A48B7" w:rsidRPr="00A4234F" w:rsidRDefault="006A48B7" w:rsidP="006A48B7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1 – Create a Custom Physics Simulation</w:t>
            </w:r>
          </w:p>
        </w:tc>
      </w:tr>
      <w:tr w:rsidR="00F267B5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003446C1" w:rsidR="00F267B5" w:rsidRPr="0013064C" w:rsidRDefault="00F267B5" w:rsidP="00F267B5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20C14EA" w:rsidR="00F267B5" w:rsidRPr="0013064C" w:rsidRDefault="00F267B5" w:rsidP="00F267B5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F267B5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21786CD3" w:rsidR="00F267B5" w:rsidRDefault="00F267B5" w:rsidP="00F267B5">
            <w:pPr>
              <w:spacing w:before="60" w:after="60"/>
              <w:rPr>
                <w:b/>
                <w:bCs/>
              </w:rPr>
            </w:pPr>
            <w:r w:rsidRPr="004E315E">
              <w:t>ICTGAM556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006AA921" w:rsidR="00F267B5" w:rsidRDefault="00F267B5" w:rsidP="00F267B5">
            <w:pPr>
              <w:spacing w:before="60" w:after="60"/>
              <w:rPr>
                <w:b/>
                <w:bCs/>
              </w:rPr>
            </w:pPr>
            <w:r w:rsidRPr="009526B1">
              <w:t>Develop and implement physics in 3-D digital games</w:t>
            </w:r>
          </w:p>
        </w:tc>
      </w:tr>
      <w:tr w:rsidR="006A48B7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54243CB1" w:rsidR="006A48B7" w:rsidRPr="0041217A" w:rsidRDefault="006A48B7" w:rsidP="006A48B7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20A096F0" w14:textId="77777777" w:rsidR="007A597E" w:rsidRDefault="007A597E" w:rsidP="007A59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assessment you are required to create a custom physics simulation and demonstrate its successful implementation within a real-time application. You may not use any third-party physics libraries in the creation of this simulation. </w:t>
      </w:r>
    </w:p>
    <w:p w14:paraId="4BCB310E" w14:textId="77777777" w:rsidR="007A597E" w:rsidRDefault="007A597E" w:rsidP="007A597E">
      <w:pPr>
        <w:rPr>
          <w:rFonts w:ascii="Arial" w:hAnsi="Arial"/>
        </w:rPr>
      </w:pPr>
      <w:r>
        <w:rPr>
          <w:rFonts w:ascii="Calibri" w:eastAsia="Calibri" w:hAnsi="Calibri" w:cs="Calibri"/>
        </w:rPr>
        <w:t>The simulation must demonstrate:</w:t>
      </w:r>
    </w:p>
    <w:p w14:paraId="4D25C4F2" w14:textId="77777777" w:rsidR="007A597E" w:rsidRDefault="007A597E" w:rsidP="007A597E">
      <w:pPr>
        <w:pStyle w:val="ListParagraph"/>
        <w:numPr>
          <w:ilvl w:val="0"/>
          <w:numId w:val="13"/>
        </w:numPr>
        <w:spacing w:before="60" w:after="60" w:line="240" w:lineRule="auto"/>
      </w:pPr>
      <w:r>
        <w:t>Static and Dynamic Rigid Bodies</w:t>
      </w:r>
    </w:p>
    <w:p w14:paraId="3D01501B" w14:textId="77777777" w:rsidR="007A597E" w:rsidRDefault="007A597E" w:rsidP="007A597E">
      <w:pPr>
        <w:pStyle w:val="ListParagraph"/>
        <w:numPr>
          <w:ilvl w:val="0"/>
          <w:numId w:val="13"/>
        </w:numPr>
        <w:spacing w:before="60" w:after="60" w:line="240" w:lineRule="auto"/>
      </w:pPr>
      <w:r>
        <w:t>Forces being applied to Dynamic Rigid Bodies</w:t>
      </w:r>
    </w:p>
    <w:p w14:paraId="766AEDA1" w14:textId="77777777" w:rsidR="007A597E" w:rsidRDefault="007A597E" w:rsidP="007A597E">
      <w:pPr>
        <w:pStyle w:val="ListParagraph"/>
        <w:numPr>
          <w:ilvl w:val="0"/>
          <w:numId w:val="13"/>
        </w:numPr>
        <w:spacing w:before="60" w:after="60" w:line="240" w:lineRule="auto"/>
      </w:pPr>
      <w:r>
        <w:t>Static and Dynamic Rigid Bodies interacting with each other as expected</w:t>
      </w:r>
    </w:p>
    <w:p w14:paraId="7F2B20D0" w14:textId="77777777" w:rsidR="007A597E" w:rsidRDefault="007A597E" w:rsidP="007A597E">
      <w:pPr>
        <w:spacing w:before="60" w:after="60"/>
        <w:rPr>
          <w:lang w:val="en-US"/>
        </w:rPr>
      </w:pPr>
      <w:r>
        <w:rPr>
          <w:rFonts w:ascii="Calibri" w:eastAsia="Calibri" w:hAnsi="Calibri" w:cs="Calibri"/>
        </w:rPr>
        <w:t>You must visually display the simulation in a meaningful way. (A suggested demonstration application is a billiards simulation or game).</w:t>
      </w:r>
    </w:p>
    <w:p w14:paraId="3496B7FC" w14:textId="77777777" w:rsidR="007A597E" w:rsidRDefault="007A597E" w:rsidP="007A597E">
      <w:pPr>
        <w:spacing w:before="60" w:after="60"/>
        <w:rPr>
          <w:lang w:val="en-US"/>
        </w:rPr>
      </w:pPr>
    </w:p>
    <w:p w14:paraId="151D1218" w14:textId="77777777" w:rsidR="007A597E" w:rsidRDefault="007A597E" w:rsidP="007A597E">
      <w:pPr>
        <w:spacing w:before="60" w:after="60"/>
        <w:rPr>
          <w:lang w:val="en-US"/>
        </w:rPr>
      </w:pPr>
      <w:r>
        <w:rPr>
          <w:lang w:val="en-US"/>
        </w:rPr>
        <w:t xml:space="preserve">You will need to submit an </w:t>
      </w:r>
      <w:r w:rsidRPr="00D47A4F">
        <w:rPr>
          <w:lang w:val="en-US"/>
        </w:rPr>
        <w:t>executable that runs external from</w:t>
      </w:r>
      <w:r>
        <w:rPr>
          <w:lang w:val="en-US"/>
        </w:rPr>
        <w:t xml:space="preserve"> the</w:t>
      </w:r>
      <w:r w:rsidRPr="00D47A4F">
        <w:rPr>
          <w:lang w:val="en-US"/>
        </w:rPr>
        <w:t xml:space="preserve"> IDE</w:t>
      </w:r>
      <w:r>
        <w:rPr>
          <w:lang w:val="en-US"/>
        </w:rPr>
        <w:t xml:space="preserve"> and executes without</w:t>
      </w:r>
      <w:r w:rsidRPr="00D47A4F">
        <w:rPr>
          <w:lang w:val="en-US"/>
        </w:rPr>
        <w:t xml:space="preserve"> error</w:t>
      </w:r>
      <w:r>
        <w:rPr>
          <w:lang w:val="en-US"/>
        </w:rPr>
        <w:t>s or crashing.</w:t>
      </w:r>
    </w:p>
    <w:p w14:paraId="174BEA81" w14:textId="2760EF54" w:rsidR="007A597E" w:rsidRDefault="007A597E" w:rsidP="007A597E">
      <w:pPr>
        <w:spacing w:before="60" w:after="60"/>
        <w:rPr>
          <w:lang w:val="en-US"/>
        </w:rPr>
      </w:pPr>
      <w:r>
        <w:rPr>
          <w:lang w:val="en-US"/>
        </w:rPr>
        <w:t>You will also submit the solution, source code</w:t>
      </w:r>
      <w:r w:rsidRPr="00D47A4F">
        <w:rPr>
          <w:lang w:val="en-US"/>
        </w:rPr>
        <w:t xml:space="preserve"> and </w:t>
      </w:r>
      <w:r>
        <w:rPr>
          <w:lang w:val="en-US"/>
        </w:rPr>
        <w:t xml:space="preserve">any </w:t>
      </w:r>
      <w:r w:rsidRPr="00D47A4F">
        <w:rPr>
          <w:lang w:val="en-US"/>
        </w:rPr>
        <w:t>assets for the application</w:t>
      </w:r>
      <w:r>
        <w:rPr>
          <w:lang w:val="en-US"/>
        </w:rPr>
        <w:t xml:space="preserve">. Your project must </w:t>
      </w:r>
      <w:r w:rsidRPr="00D47A4F">
        <w:rPr>
          <w:lang w:val="en-US"/>
        </w:rPr>
        <w:t xml:space="preserve">compile </w:t>
      </w:r>
      <w:r>
        <w:rPr>
          <w:lang w:val="en-US"/>
        </w:rPr>
        <w:t xml:space="preserve">without any compiler errors </w:t>
      </w:r>
      <w:r w:rsidRPr="00D47A4F">
        <w:rPr>
          <w:lang w:val="en-US"/>
        </w:rPr>
        <w:t>or link</w:t>
      </w:r>
      <w:r>
        <w:rPr>
          <w:lang w:val="en-US"/>
        </w:rPr>
        <w:t>ing</w:t>
      </w:r>
      <w:r w:rsidRPr="00D47A4F">
        <w:rPr>
          <w:lang w:val="en-US"/>
        </w:rPr>
        <w:t xml:space="preserve"> error</w:t>
      </w:r>
      <w:r>
        <w:rPr>
          <w:lang w:val="en-US"/>
        </w:rPr>
        <w:t>s.</w:t>
      </w:r>
    </w:p>
    <w:p w14:paraId="4CCA2B27" w14:textId="02E65582" w:rsidR="006567D2" w:rsidRDefault="006567D2" w:rsidP="007A597E">
      <w:pPr>
        <w:spacing w:before="60" w:after="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17"/>
        <w:gridCol w:w="5837"/>
      </w:tblGrid>
      <w:tr w:rsidR="006567D2" w14:paraId="7D487088" w14:textId="77777777" w:rsidTr="006567D2">
        <w:tc>
          <w:tcPr>
            <w:tcW w:w="3179" w:type="dxa"/>
            <w:gridSpan w:val="2"/>
            <w:shd w:val="clear" w:color="auto" w:fill="F2F2F2" w:themeFill="background1" w:themeFillShade="F2"/>
          </w:tcPr>
          <w:p w14:paraId="4E97B88C" w14:textId="77777777" w:rsidR="006567D2" w:rsidRPr="00140450" w:rsidRDefault="006567D2" w:rsidP="00BF1BF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5837" w:type="dxa"/>
            <w:shd w:val="clear" w:color="auto" w:fill="F2F2F2" w:themeFill="background1" w:themeFillShade="F2"/>
          </w:tcPr>
          <w:p w14:paraId="2D8FB611" w14:textId="77777777" w:rsidR="006567D2" w:rsidRPr="00140450" w:rsidRDefault="006567D2" w:rsidP="00BF1BF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Evidence Criteria </w:t>
            </w:r>
          </w:p>
        </w:tc>
      </w:tr>
      <w:tr w:rsidR="006567D2" w14:paraId="1957C9CF" w14:textId="77777777" w:rsidTr="006567D2">
        <w:tc>
          <w:tcPr>
            <w:tcW w:w="562" w:type="dxa"/>
          </w:tcPr>
          <w:p w14:paraId="5F1200C0" w14:textId="77777777" w:rsidR="006567D2" w:rsidRDefault="006567D2" w:rsidP="00BF1BF1">
            <w:pPr>
              <w:spacing w:before="60" w:after="60"/>
            </w:pPr>
            <w:r>
              <w:t>1.</w:t>
            </w:r>
          </w:p>
        </w:tc>
        <w:tc>
          <w:tcPr>
            <w:tcW w:w="2617" w:type="dxa"/>
          </w:tcPr>
          <w:p w14:paraId="50B39C97" w14:textId="77777777" w:rsidR="006567D2" w:rsidRDefault="006567D2" w:rsidP="00BF1BF1">
            <w:pPr>
              <w:spacing w:before="60" w:after="60"/>
            </w:pPr>
            <w:r>
              <w:t>Custom Physics Engine</w:t>
            </w:r>
          </w:p>
        </w:tc>
        <w:tc>
          <w:tcPr>
            <w:tcW w:w="5837" w:type="dxa"/>
          </w:tcPr>
          <w:p w14:paraId="158B3AB4" w14:textId="77777777" w:rsidR="006567D2" w:rsidRDefault="006567D2" w:rsidP="00BF1BF1">
            <w:pPr>
              <w:spacing w:before="60" w:after="60"/>
            </w:pPr>
            <w:r>
              <w:rPr>
                <w:lang w:val="en-US"/>
              </w:rPr>
              <w:t xml:space="preserve">Wire a </w:t>
            </w:r>
            <w:r w:rsidRPr="00D47A4F">
              <w:rPr>
                <w:lang w:val="en-US"/>
              </w:rPr>
              <w:t xml:space="preserve">custom physics systems </w:t>
            </w:r>
            <w:r>
              <w:rPr>
                <w:lang w:val="en-US"/>
              </w:rPr>
              <w:t xml:space="preserve">and demonstrate its uses in a stand-alone </w:t>
            </w:r>
            <w:r w:rsidRPr="00D47A4F">
              <w:rPr>
                <w:lang w:val="en-US"/>
              </w:rPr>
              <w:t>real-time application</w:t>
            </w:r>
            <w:r>
              <w:rPr>
                <w:lang w:val="en-US"/>
              </w:rPr>
              <w:t>.</w:t>
            </w:r>
          </w:p>
        </w:tc>
      </w:tr>
      <w:tr w:rsidR="006567D2" w14:paraId="013D47D1" w14:textId="77777777" w:rsidTr="006567D2">
        <w:trPr>
          <w:trHeight w:val="660"/>
        </w:trPr>
        <w:tc>
          <w:tcPr>
            <w:tcW w:w="562" w:type="dxa"/>
          </w:tcPr>
          <w:p w14:paraId="57E5C970" w14:textId="77777777" w:rsidR="006567D2" w:rsidRDefault="006567D2" w:rsidP="00BF1BF1">
            <w:pPr>
              <w:spacing w:before="60" w:after="60"/>
            </w:pPr>
            <w:r>
              <w:t>2.</w:t>
            </w:r>
          </w:p>
        </w:tc>
        <w:tc>
          <w:tcPr>
            <w:tcW w:w="2617" w:type="dxa"/>
          </w:tcPr>
          <w:p w14:paraId="256DB338" w14:textId="77777777" w:rsidR="006567D2" w:rsidRPr="008941B3" w:rsidRDefault="006567D2" w:rsidP="00BF1BF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Implement and demonstrate state and dynamic rigid bodies</w:t>
            </w:r>
          </w:p>
        </w:tc>
        <w:tc>
          <w:tcPr>
            <w:tcW w:w="5837" w:type="dxa"/>
          </w:tcPr>
          <w:p w14:paraId="7C812389" w14:textId="77777777" w:rsidR="006567D2" w:rsidRPr="008941B3" w:rsidRDefault="006567D2" w:rsidP="00BF1BF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In your custom physics engine, implement </w:t>
            </w:r>
            <w:r w:rsidRPr="00D47A4F">
              <w:rPr>
                <w:lang w:val="en-US"/>
              </w:rPr>
              <w:t>static and dynamic rigid body physics</w:t>
            </w:r>
            <w:r>
              <w:rPr>
                <w:lang w:val="en-US"/>
              </w:rPr>
              <w:t xml:space="preserve">, and demonstrate static and dynamic rigid bodies </w:t>
            </w:r>
            <w:r w:rsidRPr="00D47A4F">
              <w:rPr>
                <w:lang w:val="en-US"/>
              </w:rPr>
              <w:t>interact</w:t>
            </w:r>
            <w:r>
              <w:rPr>
                <w:lang w:val="en-US"/>
              </w:rPr>
              <w:t>ing with each other.</w:t>
            </w:r>
          </w:p>
        </w:tc>
      </w:tr>
      <w:tr w:rsidR="006567D2" w14:paraId="0E73B8E1" w14:textId="77777777" w:rsidTr="006567D2">
        <w:tc>
          <w:tcPr>
            <w:tcW w:w="562" w:type="dxa"/>
          </w:tcPr>
          <w:p w14:paraId="26F8D8F2" w14:textId="77777777" w:rsidR="006567D2" w:rsidRDefault="006567D2" w:rsidP="00BF1BF1">
            <w:pPr>
              <w:spacing w:before="60" w:after="60"/>
            </w:pPr>
            <w:r>
              <w:t>3.</w:t>
            </w:r>
          </w:p>
        </w:tc>
        <w:tc>
          <w:tcPr>
            <w:tcW w:w="2617" w:type="dxa"/>
          </w:tcPr>
          <w:p w14:paraId="33A78259" w14:textId="77777777" w:rsidR="006567D2" w:rsidRPr="008941B3" w:rsidRDefault="006567D2" w:rsidP="00BF1BF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Apply forces to physics bodies</w:t>
            </w:r>
          </w:p>
        </w:tc>
        <w:tc>
          <w:tcPr>
            <w:tcW w:w="5837" w:type="dxa"/>
          </w:tcPr>
          <w:p w14:paraId="3C406BC8" w14:textId="77777777" w:rsidR="006567D2" w:rsidRPr="008941B3" w:rsidRDefault="006567D2" w:rsidP="00BF1BF1">
            <w:pPr>
              <w:spacing w:before="60" w:after="60"/>
              <w:rPr>
                <w:lang w:val="en-US"/>
              </w:rPr>
            </w:pPr>
            <w:r>
              <w:t>In your custom physics engine, implement and demonstrate the application of forces to physics bodies.</w:t>
            </w:r>
          </w:p>
        </w:tc>
      </w:tr>
      <w:tr w:rsidR="006567D2" w14:paraId="1BCF0621" w14:textId="77777777" w:rsidTr="006567D2">
        <w:tc>
          <w:tcPr>
            <w:tcW w:w="562" w:type="dxa"/>
          </w:tcPr>
          <w:p w14:paraId="08884A09" w14:textId="77777777" w:rsidR="006567D2" w:rsidRDefault="006567D2" w:rsidP="00BF1BF1">
            <w:pPr>
              <w:spacing w:before="60" w:after="60"/>
            </w:pPr>
            <w:r>
              <w:t>4.</w:t>
            </w:r>
          </w:p>
        </w:tc>
        <w:tc>
          <w:tcPr>
            <w:tcW w:w="2617" w:type="dxa"/>
          </w:tcPr>
          <w:p w14:paraId="6F8CFAE2" w14:textId="77777777" w:rsidR="006567D2" w:rsidRDefault="006567D2" w:rsidP="00BF1BF1">
            <w:pPr>
              <w:spacing w:before="60"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Visualise</w:t>
            </w:r>
            <w:proofErr w:type="spellEnd"/>
            <w:r>
              <w:rPr>
                <w:lang w:val="en-US"/>
              </w:rPr>
              <w:t xml:space="preserve"> physics bodies</w:t>
            </w:r>
          </w:p>
        </w:tc>
        <w:tc>
          <w:tcPr>
            <w:tcW w:w="5837" w:type="dxa"/>
          </w:tcPr>
          <w:p w14:paraId="68E1A80D" w14:textId="77777777" w:rsidR="006567D2" w:rsidRDefault="006567D2" w:rsidP="00BF1BF1">
            <w:pPr>
              <w:spacing w:before="60" w:after="60"/>
            </w:pPr>
            <w:r>
              <w:t xml:space="preserve">In your demonstration application, implement functionality that enables the visualisation of physics bodies. </w:t>
            </w:r>
          </w:p>
          <w:p w14:paraId="0E81921C" w14:textId="4751FEB9" w:rsidR="00B97E7B" w:rsidRDefault="00B97E7B" w:rsidP="00BF1BF1">
            <w:pPr>
              <w:spacing w:before="60" w:after="60"/>
            </w:pPr>
            <w:r>
              <w:t xml:space="preserve">For example, add a debug mode that draws </w:t>
            </w:r>
            <w:r w:rsidR="00AB7EDE">
              <w:t>the 2D shape of the physics objects.</w:t>
            </w:r>
          </w:p>
        </w:tc>
      </w:tr>
      <w:tr w:rsidR="006567D2" w14:paraId="32F101CB" w14:textId="77777777" w:rsidTr="006567D2">
        <w:tc>
          <w:tcPr>
            <w:tcW w:w="562" w:type="dxa"/>
          </w:tcPr>
          <w:p w14:paraId="702ADE2D" w14:textId="77777777" w:rsidR="006567D2" w:rsidRDefault="006567D2" w:rsidP="00BF1BF1">
            <w:pPr>
              <w:spacing w:before="60" w:after="60"/>
            </w:pPr>
            <w:r>
              <w:t>5.</w:t>
            </w:r>
          </w:p>
        </w:tc>
        <w:tc>
          <w:tcPr>
            <w:tcW w:w="2617" w:type="dxa"/>
          </w:tcPr>
          <w:p w14:paraId="379A5B69" w14:textId="77777777" w:rsidR="006567D2" w:rsidRDefault="006567D2" w:rsidP="00BF1BF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Project and source code</w:t>
            </w:r>
          </w:p>
        </w:tc>
        <w:tc>
          <w:tcPr>
            <w:tcW w:w="5837" w:type="dxa"/>
          </w:tcPr>
          <w:p w14:paraId="37B196BF" w14:textId="77777777" w:rsidR="006567D2" w:rsidRDefault="006567D2" w:rsidP="00BF1BF1">
            <w:pPr>
              <w:spacing w:before="60" w:after="60"/>
            </w:pPr>
            <w:r>
              <w:t>Submit the project/solution, source code and assets for your physics system and demonstration application.</w:t>
            </w:r>
          </w:p>
        </w:tc>
      </w:tr>
      <w:tr w:rsidR="006567D2" w14:paraId="0E9ACE00" w14:textId="77777777" w:rsidTr="006567D2">
        <w:tc>
          <w:tcPr>
            <w:tcW w:w="9016" w:type="dxa"/>
            <w:gridSpan w:val="3"/>
            <w:shd w:val="clear" w:color="auto" w:fill="F2F2F2" w:themeFill="background1" w:themeFillShade="F2"/>
          </w:tcPr>
          <w:p w14:paraId="62DE8B81" w14:textId="77777777" w:rsidR="006567D2" w:rsidRDefault="006567D2" w:rsidP="00BF1BF1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6567D2" w14:paraId="2C83C165" w14:textId="77777777" w:rsidTr="006567D2">
        <w:tc>
          <w:tcPr>
            <w:tcW w:w="9016" w:type="dxa"/>
            <w:gridSpan w:val="3"/>
          </w:tcPr>
          <w:p w14:paraId="63DD8C52" w14:textId="77777777" w:rsidR="006567D2" w:rsidRPr="00F26999" w:rsidRDefault="006567D2" w:rsidP="00BF1BF1">
            <w:pPr>
              <w:spacing w:before="60" w:after="60"/>
            </w:pPr>
            <w:r w:rsidRPr="00F26999">
              <w:lastRenderedPageBreak/>
              <w:t>You will need to submit the following:</w:t>
            </w:r>
          </w:p>
          <w:p w14:paraId="455D1A14" w14:textId="77777777" w:rsidR="006567D2" w:rsidRPr="00155BAA" w:rsidRDefault="006567D2" w:rsidP="006567D2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155BAA">
              <w:t xml:space="preserve">A Release build of </w:t>
            </w:r>
            <w:r>
              <w:t xml:space="preserve">the demonstration </w:t>
            </w:r>
            <w:r w:rsidRPr="00155BAA">
              <w:t xml:space="preserve">application </w:t>
            </w:r>
            <w:r>
              <w:t xml:space="preserve">(which includes the custom physics system/engine) </w:t>
            </w:r>
            <w:r w:rsidRPr="00155BAA">
              <w:t>that can execute as a stand-alone program</w:t>
            </w:r>
          </w:p>
          <w:p w14:paraId="1FBE4783" w14:textId="77777777" w:rsidR="006567D2" w:rsidRPr="00155BAA" w:rsidRDefault="006567D2" w:rsidP="006567D2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155BAA">
              <w:t xml:space="preserve">Your complete Visual </w:t>
            </w:r>
            <w:r w:rsidRPr="000E0027">
              <w:t>Studio</w:t>
            </w:r>
            <w:r w:rsidRPr="00155BAA">
              <w:t xml:space="preserve"> project</w:t>
            </w:r>
          </w:p>
          <w:p w14:paraId="61CA22B0" w14:textId="77777777" w:rsidR="006567D2" w:rsidRPr="00155BAA" w:rsidRDefault="006567D2" w:rsidP="00BF1BF1">
            <w:pPr>
              <w:spacing w:before="60" w:after="60"/>
              <w:rPr>
                <w:rFonts w:cstheme="majorHAnsi"/>
              </w:rPr>
            </w:pPr>
            <w:r w:rsidRPr="00155BAA">
              <w:rPr>
                <w:rFonts w:cstheme="majorHAnsi"/>
              </w:rPr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22A19953" w14:textId="77777777" w:rsidR="006567D2" w:rsidRDefault="006567D2" w:rsidP="00BF1BF1">
            <w:pPr>
              <w:spacing w:before="60" w:after="60"/>
            </w:pPr>
            <w:r w:rsidRPr="00155BAA">
              <w:rPr>
                <w:rFonts w:cstheme="majorHAnsi"/>
              </w:rPr>
              <w:t>Package all files in a single compressed archive file (.zip, .7z, or .</w:t>
            </w:r>
            <w:proofErr w:type="spellStart"/>
            <w:r w:rsidRPr="00155BAA">
              <w:rPr>
                <w:rFonts w:cstheme="majorHAnsi"/>
              </w:rPr>
              <w:t>rar</w:t>
            </w:r>
            <w:proofErr w:type="spellEnd"/>
            <w:r w:rsidRPr="00155BAA">
              <w:rPr>
                <w:rFonts w:cstheme="majorHAnsi"/>
              </w:rPr>
              <w:t>)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05E9" w14:textId="77777777" w:rsidR="00F9752D" w:rsidRDefault="00F9752D" w:rsidP="007D1963">
      <w:pPr>
        <w:spacing w:line="240" w:lineRule="auto"/>
      </w:pPr>
      <w:r>
        <w:separator/>
      </w:r>
    </w:p>
  </w:endnote>
  <w:endnote w:type="continuationSeparator" w:id="0">
    <w:p w14:paraId="6D8A5B2C" w14:textId="77777777" w:rsidR="00F9752D" w:rsidRDefault="00F9752D" w:rsidP="007D1963">
      <w:pPr>
        <w:spacing w:line="240" w:lineRule="auto"/>
      </w:pPr>
      <w:r>
        <w:continuationSeparator/>
      </w:r>
    </w:p>
  </w:endnote>
  <w:endnote w:type="continuationNotice" w:id="1">
    <w:p w14:paraId="631A4AA2" w14:textId="77777777" w:rsidR="00F9752D" w:rsidRDefault="00F975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r w:rsidR="00F267B5">
      <w:fldChar w:fldCharType="begin"/>
    </w:r>
    <w:r w:rsidR="00F267B5">
      <w:instrText>NUMPAGES  \* Arabic  \* MERGEFORMAT</w:instrText>
    </w:r>
    <w:r w:rsidR="00F267B5">
      <w:fldChar w:fldCharType="separate"/>
    </w:r>
    <w:r w:rsidRPr="00EF74DA">
      <w:rPr>
        <w:noProof/>
      </w:rPr>
      <w:t>2</w:t>
    </w:r>
    <w:r w:rsidR="00F267B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F16E" w14:textId="77777777" w:rsidR="00F9752D" w:rsidRDefault="00F9752D" w:rsidP="007D1963">
      <w:pPr>
        <w:spacing w:line="240" w:lineRule="auto"/>
      </w:pPr>
      <w:r>
        <w:separator/>
      </w:r>
    </w:p>
  </w:footnote>
  <w:footnote w:type="continuationSeparator" w:id="0">
    <w:p w14:paraId="7C3BFB0D" w14:textId="77777777" w:rsidR="00F9752D" w:rsidRDefault="00F9752D" w:rsidP="007D1963">
      <w:pPr>
        <w:spacing w:line="240" w:lineRule="auto"/>
      </w:pPr>
      <w:r>
        <w:continuationSeparator/>
      </w:r>
    </w:p>
  </w:footnote>
  <w:footnote w:type="continuationNotice" w:id="1">
    <w:p w14:paraId="3EA6C1A4" w14:textId="77777777" w:rsidR="00F9752D" w:rsidRDefault="00F9752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9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13531"/>
    <w:multiLevelType w:val="hybridMultilevel"/>
    <w:tmpl w:val="8D209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44325678">
    <w:abstractNumId w:val="3"/>
  </w:num>
  <w:num w:numId="2" w16cid:durableId="1267688282">
    <w:abstractNumId w:val="0"/>
  </w:num>
  <w:num w:numId="3" w16cid:durableId="409499384">
    <w:abstractNumId w:val="5"/>
    <w:lvlOverride w:ilvl="0">
      <w:startOverride w:val="1"/>
    </w:lvlOverride>
  </w:num>
  <w:num w:numId="4" w16cid:durableId="1108623988">
    <w:abstractNumId w:val="12"/>
  </w:num>
  <w:num w:numId="5" w16cid:durableId="1645818660">
    <w:abstractNumId w:val="8"/>
  </w:num>
  <w:num w:numId="6" w16cid:durableId="28605247">
    <w:abstractNumId w:val="9"/>
  </w:num>
  <w:num w:numId="7" w16cid:durableId="51317446">
    <w:abstractNumId w:val="6"/>
  </w:num>
  <w:num w:numId="8" w16cid:durableId="74666499">
    <w:abstractNumId w:val="1"/>
  </w:num>
  <w:num w:numId="9" w16cid:durableId="383872718">
    <w:abstractNumId w:val="10"/>
  </w:num>
  <w:num w:numId="10" w16cid:durableId="610627962">
    <w:abstractNumId w:val="7"/>
  </w:num>
  <w:num w:numId="11" w16cid:durableId="771509964">
    <w:abstractNumId w:val="4"/>
  </w:num>
  <w:num w:numId="12" w16cid:durableId="580680839">
    <w:abstractNumId w:val="2"/>
  </w:num>
  <w:num w:numId="13" w16cid:durableId="1845510430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534A55"/>
    <w:rsid w:val="00541C24"/>
    <w:rsid w:val="00551C3C"/>
    <w:rsid w:val="005632A9"/>
    <w:rsid w:val="00570510"/>
    <w:rsid w:val="005711EE"/>
    <w:rsid w:val="005A7836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170C5"/>
    <w:rsid w:val="00636791"/>
    <w:rsid w:val="006567D2"/>
    <w:rsid w:val="00663E90"/>
    <w:rsid w:val="00666B81"/>
    <w:rsid w:val="006765E7"/>
    <w:rsid w:val="00677A36"/>
    <w:rsid w:val="00684EA7"/>
    <w:rsid w:val="0068542F"/>
    <w:rsid w:val="0069261B"/>
    <w:rsid w:val="0069661F"/>
    <w:rsid w:val="006979D8"/>
    <w:rsid w:val="006A48B7"/>
    <w:rsid w:val="006B45A2"/>
    <w:rsid w:val="006C3903"/>
    <w:rsid w:val="006E4499"/>
    <w:rsid w:val="006E5374"/>
    <w:rsid w:val="006F5D56"/>
    <w:rsid w:val="006F66DA"/>
    <w:rsid w:val="007062FD"/>
    <w:rsid w:val="0071690E"/>
    <w:rsid w:val="00727767"/>
    <w:rsid w:val="00747835"/>
    <w:rsid w:val="007A597E"/>
    <w:rsid w:val="007A7AAC"/>
    <w:rsid w:val="007B00DB"/>
    <w:rsid w:val="007C0AC8"/>
    <w:rsid w:val="007C1361"/>
    <w:rsid w:val="007C65A0"/>
    <w:rsid w:val="007D1963"/>
    <w:rsid w:val="007D2910"/>
    <w:rsid w:val="007D52E9"/>
    <w:rsid w:val="0081685E"/>
    <w:rsid w:val="0082101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14F0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6376"/>
    <w:rsid w:val="00AB7EDE"/>
    <w:rsid w:val="00AF5D94"/>
    <w:rsid w:val="00B046BC"/>
    <w:rsid w:val="00B10EA2"/>
    <w:rsid w:val="00B2084F"/>
    <w:rsid w:val="00B24F17"/>
    <w:rsid w:val="00B35086"/>
    <w:rsid w:val="00B443F3"/>
    <w:rsid w:val="00B73057"/>
    <w:rsid w:val="00B74750"/>
    <w:rsid w:val="00B76340"/>
    <w:rsid w:val="00B86499"/>
    <w:rsid w:val="00B97E7B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942EB"/>
    <w:rsid w:val="00D96219"/>
    <w:rsid w:val="00DA5305"/>
    <w:rsid w:val="00DC65B1"/>
    <w:rsid w:val="00DF1030"/>
    <w:rsid w:val="00DF2C66"/>
    <w:rsid w:val="00E01DDD"/>
    <w:rsid w:val="00E03949"/>
    <w:rsid w:val="00E11617"/>
    <w:rsid w:val="00E14993"/>
    <w:rsid w:val="00E60280"/>
    <w:rsid w:val="00E63188"/>
    <w:rsid w:val="00E800E3"/>
    <w:rsid w:val="00E82448"/>
    <w:rsid w:val="00E86672"/>
    <w:rsid w:val="00EC0E89"/>
    <w:rsid w:val="00ED48D5"/>
    <w:rsid w:val="00ED637C"/>
    <w:rsid w:val="00EE5D48"/>
    <w:rsid w:val="00EE6543"/>
    <w:rsid w:val="00EF74DA"/>
    <w:rsid w:val="00F0563A"/>
    <w:rsid w:val="00F2153C"/>
    <w:rsid w:val="00F267B5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9752D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2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33</cp:revision>
  <cp:lastPrinted>2022-08-29T05:04:00Z</cp:lastPrinted>
  <dcterms:created xsi:type="dcterms:W3CDTF">2022-11-23T05:55:00Z</dcterms:created>
  <dcterms:modified xsi:type="dcterms:W3CDTF">2022-12-15T03:19:00Z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