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F58D5" w14:textId="77777777" w:rsidR="00124DBA" w:rsidRPr="00124DBA" w:rsidRDefault="00124DBA" w:rsidP="00124DBA">
      <w:pPr>
        <w:rPr>
          <w:sz w:val="40"/>
          <w:szCs w:val="40"/>
        </w:rPr>
      </w:pPr>
      <w:proofErr w:type="spellStart"/>
      <w:r w:rsidRPr="00124DBA">
        <w:rPr>
          <w:b/>
          <w:bCs/>
          <w:sz w:val="40"/>
          <w:szCs w:val="40"/>
        </w:rPr>
        <w:t>TrustLoRA</w:t>
      </w:r>
      <w:proofErr w:type="spellEnd"/>
    </w:p>
    <w:p w14:paraId="7D2FD32B" w14:textId="77777777" w:rsidR="00124DBA" w:rsidRPr="00124DBA" w:rsidRDefault="00124DBA" w:rsidP="00124DBA">
      <w:r w:rsidRPr="00124DBA">
        <w:t>Literature &amp; Learning Notes</w:t>
      </w:r>
    </w:p>
    <w:p w14:paraId="2EC51920" w14:textId="77777777" w:rsidR="00124DBA" w:rsidRPr="00124DBA" w:rsidRDefault="00124DBA" w:rsidP="00124DBA">
      <w:r w:rsidRPr="00124DBA">
        <w:rPr>
          <w:i/>
          <w:iCs/>
        </w:rPr>
        <w:t>A practical research log — what I read, what I used, and where the tool's design choices came from.</w:t>
      </w:r>
    </w:p>
    <w:p w14:paraId="5A61A7E1" w14:textId="77777777" w:rsidR="00124DBA" w:rsidRPr="00124DBA" w:rsidRDefault="00124DBA" w:rsidP="00124DBA"/>
    <w:p w14:paraId="6F7258F9" w14:textId="77777777" w:rsidR="00124DBA" w:rsidRPr="00124DBA" w:rsidRDefault="00124DBA" w:rsidP="00124DBA">
      <w:pPr>
        <w:rPr>
          <w:b/>
          <w:bCs/>
        </w:rPr>
      </w:pPr>
      <w:r w:rsidRPr="00124DBA">
        <w:rPr>
          <w:b/>
          <w:bCs/>
        </w:rPr>
        <w:t>Corpus Used</w:t>
      </w:r>
    </w:p>
    <w:p w14:paraId="02B5A737" w14:textId="77777777" w:rsidR="00124DBA" w:rsidRPr="00124DBA" w:rsidRDefault="00124DBA" w:rsidP="00124DBA">
      <w:pPr>
        <w:numPr>
          <w:ilvl w:val="0"/>
          <w:numId w:val="1"/>
        </w:numPr>
      </w:pPr>
      <w:r w:rsidRPr="00124DBA">
        <w:t>Literature metadata records: 30 papers</w:t>
      </w:r>
    </w:p>
    <w:p w14:paraId="06709B9D" w14:textId="4C309D62" w:rsidR="00124DBA" w:rsidRDefault="00124DBA" w:rsidP="00124DBA">
      <w:pPr>
        <w:numPr>
          <w:ilvl w:val="0"/>
          <w:numId w:val="1"/>
        </w:numPr>
      </w:pPr>
      <w:r w:rsidRPr="00124DBA">
        <w:t>Audit evidence: five completed PEFT adapter checkpoints, each covering toxicity, jailbreak, demographic-bias, and backdoor dimensions</w:t>
      </w:r>
    </w:p>
    <w:p w14:paraId="667708F7" w14:textId="77777777" w:rsidR="00124DBA" w:rsidRPr="00124DBA" w:rsidRDefault="00124DBA" w:rsidP="00124DBA"/>
    <w:p w14:paraId="290E8E9C" w14:textId="77777777" w:rsidR="00124DBA" w:rsidRPr="00124DBA" w:rsidRDefault="00124DBA" w:rsidP="00124DBA">
      <w:pPr>
        <w:rPr>
          <w:b/>
          <w:bCs/>
        </w:rPr>
      </w:pPr>
      <w:r w:rsidRPr="00124DBA">
        <w:rPr>
          <w:b/>
          <w:bCs/>
        </w:rPr>
        <w:t>How the Papers Shaped the Tool</w:t>
      </w:r>
    </w:p>
    <w:p w14:paraId="2E81AF78" w14:textId="77777777" w:rsidR="00124DBA" w:rsidRPr="00124DBA" w:rsidRDefault="00124DBA" w:rsidP="00124DBA">
      <w:pPr>
        <w:rPr>
          <w:b/>
          <w:bCs/>
        </w:rPr>
      </w:pPr>
      <w:r w:rsidRPr="00124DBA">
        <w:rPr>
          <w:b/>
          <w:bCs/>
        </w:rPr>
        <w:t>PEFT Papers</w:t>
      </w:r>
    </w:p>
    <w:p w14:paraId="40355C4B" w14:textId="77777777" w:rsidR="00124DBA" w:rsidRPr="00124DBA" w:rsidRDefault="00124DBA" w:rsidP="00124DBA">
      <w:r w:rsidRPr="00124DBA">
        <w:t xml:space="preserve">The PEFT papers explain why </w:t>
      </w:r>
      <w:proofErr w:type="spellStart"/>
      <w:r w:rsidRPr="00124DBA">
        <w:t>LoRA</w:t>
      </w:r>
      <w:proofErr w:type="spellEnd"/>
      <w:r w:rsidRPr="00124DBA">
        <w:t xml:space="preserve"> adapters are lightweight, portable, and easy to share. That same portability creates a review problem: a small adapter can change a large base model's behaviour without carrying the usual deployment ceremony of a full model release.</w:t>
      </w:r>
    </w:p>
    <w:p w14:paraId="5A2290F2" w14:textId="77777777" w:rsidR="00124DBA" w:rsidRPr="00124DBA" w:rsidRDefault="00124DBA" w:rsidP="00124DBA">
      <w:pPr>
        <w:rPr>
          <w:b/>
          <w:bCs/>
        </w:rPr>
      </w:pPr>
      <w:r w:rsidRPr="00124DBA">
        <w:rPr>
          <w:b/>
          <w:bCs/>
        </w:rPr>
        <w:t>Safety &amp; Evaluation Papers</w:t>
      </w:r>
    </w:p>
    <w:p w14:paraId="7B1F7CBC" w14:textId="77777777" w:rsidR="00124DBA" w:rsidRPr="00124DBA" w:rsidRDefault="00124DBA" w:rsidP="00124DBA">
      <w:r w:rsidRPr="00124DBA">
        <w:t>The safety and evaluation papers pushed the design toward behavioural tests rather than metadata-only scoring. Toxicity, jailbreak refusal, demographic bias, and weight anomaly checks are intentionally separate because a single composite number can hide the reason a model needs review.</w:t>
      </w:r>
    </w:p>
    <w:p w14:paraId="02013CED" w14:textId="77777777" w:rsidR="00124DBA" w:rsidRPr="00124DBA" w:rsidRDefault="00124DBA" w:rsidP="00124DBA">
      <w:pPr>
        <w:rPr>
          <w:b/>
          <w:bCs/>
        </w:rPr>
      </w:pPr>
      <w:r w:rsidRPr="00124DBA">
        <w:rPr>
          <w:b/>
          <w:bCs/>
        </w:rPr>
        <w:t>Backdoor Papers</w:t>
      </w:r>
    </w:p>
    <w:p w14:paraId="048AF0B2" w14:textId="77777777" w:rsidR="00124DBA" w:rsidRPr="00124DBA" w:rsidRDefault="00124DBA" w:rsidP="00124DBA">
      <w:r w:rsidRPr="00124DBA">
        <w:t xml:space="preserve">The backdoor papers motivated the static </w:t>
      </w:r>
      <w:proofErr w:type="spellStart"/>
      <w:r w:rsidRPr="00124DBA">
        <w:t>LoRA</w:t>
      </w:r>
      <w:proofErr w:type="spellEnd"/>
      <w:r w:rsidRPr="00124DBA">
        <w:t>-weight analysis. The current scanner is conservative: it looks for heavy tails, distribution shifts, and rank-use anomalies, then treats them as triage signals rather than proof of a working trigger.</w:t>
      </w:r>
    </w:p>
    <w:p w14:paraId="614090AA" w14:textId="77777777" w:rsidR="00124DBA" w:rsidRPr="00124DBA" w:rsidRDefault="00124DBA" w:rsidP="00124DBA"/>
    <w:p w14:paraId="34E3325E" w14:textId="77777777" w:rsidR="00124DBA" w:rsidRDefault="00124DBA">
      <w:pPr>
        <w:rPr>
          <w:b/>
          <w:bCs/>
        </w:rPr>
      </w:pPr>
      <w:r>
        <w:rPr>
          <w:b/>
          <w:bCs/>
        </w:rPr>
        <w:br w:type="page"/>
      </w:r>
    </w:p>
    <w:p w14:paraId="04FABCD8" w14:textId="7F9FEA0F" w:rsidR="00124DBA" w:rsidRPr="00124DBA" w:rsidRDefault="00124DBA" w:rsidP="00124DBA">
      <w:pPr>
        <w:rPr>
          <w:b/>
          <w:bCs/>
        </w:rPr>
      </w:pPr>
      <w:r w:rsidRPr="00124DBA">
        <w:rPr>
          <w:b/>
          <w:bCs/>
        </w:rPr>
        <w:lastRenderedPageBreak/>
        <w:t>Paper Categories</w:t>
      </w:r>
    </w:p>
    <w:tbl>
      <w:tblPr>
        <w:tblW w:w="5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0"/>
        <w:gridCol w:w="2460"/>
      </w:tblGrid>
      <w:tr w:rsidR="00124DBA" w:rsidRPr="00124DBA" w14:paraId="1FAE9830" w14:textId="77777777">
        <w:tc>
          <w:tcPr>
            <w:tcW w:w="0" w:type="auto"/>
            <w:tcBorders>
              <w:top w:val="nil"/>
              <w:left w:val="nil"/>
              <w:bottom w:val="nil"/>
              <w:right w:val="nil"/>
            </w:tcBorders>
            <w:shd w:val="clear" w:color="auto" w:fill="1E2D4E"/>
            <w:tcMar>
              <w:top w:w="100" w:type="dxa"/>
              <w:left w:w="160" w:type="dxa"/>
              <w:bottom w:w="100" w:type="dxa"/>
              <w:right w:w="160" w:type="dxa"/>
            </w:tcMar>
            <w:hideMark/>
          </w:tcPr>
          <w:p w14:paraId="222B4EA9" w14:textId="77777777" w:rsidR="00124DBA" w:rsidRPr="00124DBA" w:rsidRDefault="00124DBA" w:rsidP="00124DBA">
            <w:r w:rsidRPr="00124DBA">
              <w:rPr>
                <w:b/>
                <w:bCs/>
              </w:rPr>
              <w:t>Category</w:t>
            </w:r>
          </w:p>
        </w:tc>
        <w:tc>
          <w:tcPr>
            <w:tcW w:w="0" w:type="auto"/>
            <w:tcBorders>
              <w:top w:val="nil"/>
              <w:left w:val="nil"/>
              <w:bottom w:val="nil"/>
              <w:right w:val="nil"/>
            </w:tcBorders>
            <w:shd w:val="clear" w:color="auto" w:fill="1E2D4E"/>
            <w:tcMar>
              <w:top w:w="100" w:type="dxa"/>
              <w:left w:w="160" w:type="dxa"/>
              <w:bottom w:w="100" w:type="dxa"/>
              <w:right w:w="160" w:type="dxa"/>
            </w:tcMar>
            <w:hideMark/>
          </w:tcPr>
          <w:p w14:paraId="727578F7" w14:textId="77777777" w:rsidR="00124DBA" w:rsidRPr="00124DBA" w:rsidRDefault="00124DBA" w:rsidP="00124DBA">
            <w:r w:rsidRPr="00124DBA">
              <w:rPr>
                <w:b/>
                <w:bCs/>
              </w:rPr>
              <w:t>Papers</w:t>
            </w:r>
          </w:p>
        </w:tc>
      </w:tr>
      <w:tr w:rsidR="00124DBA" w:rsidRPr="00124DBA" w14:paraId="61C4BF05" w14:textId="77777777">
        <w:tc>
          <w:tcPr>
            <w:tcW w:w="0" w:type="auto"/>
            <w:tcBorders>
              <w:top w:val="nil"/>
              <w:left w:val="nil"/>
              <w:bottom w:val="nil"/>
              <w:right w:val="nil"/>
            </w:tcBorders>
            <w:shd w:val="clear" w:color="auto" w:fill="FFFFFF"/>
            <w:tcMar>
              <w:top w:w="80" w:type="dxa"/>
              <w:left w:w="160" w:type="dxa"/>
              <w:bottom w:w="80" w:type="dxa"/>
              <w:right w:w="160" w:type="dxa"/>
            </w:tcMar>
            <w:hideMark/>
          </w:tcPr>
          <w:p w14:paraId="0811380B" w14:textId="77777777" w:rsidR="00124DBA" w:rsidRPr="00124DBA" w:rsidRDefault="00124DBA" w:rsidP="00124DBA">
            <w:r w:rsidRPr="00124DBA">
              <w:t>Ecosystem</w:t>
            </w:r>
          </w:p>
        </w:tc>
        <w:tc>
          <w:tcPr>
            <w:tcW w:w="0" w:type="auto"/>
            <w:tcBorders>
              <w:top w:val="nil"/>
              <w:left w:val="nil"/>
              <w:bottom w:val="nil"/>
              <w:right w:val="nil"/>
            </w:tcBorders>
            <w:shd w:val="clear" w:color="auto" w:fill="FFFFFF"/>
            <w:tcMar>
              <w:top w:w="80" w:type="dxa"/>
              <w:left w:w="160" w:type="dxa"/>
              <w:bottom w:w="80" w:type="dxa"/>
              <w:right w:w="160" w:type="dxa"/>
            </w:tcMar>
            <w:hideMark/>
          </w:tcPr>
          <w:p w14:paraId="179F9FDE" w14:textId="77777777" w:rsidR="00124DBA" w:rsidRPr="00124DBA" w:rsidRDefault="00124DBA" w:rsidP="00124DBA">
            <w:r w:rsidRPr="00124DBA">
              <w:t>3</w:t>
            </w:r>
          </w:p>
        </w:tc>
      </w:tr>
      <w:tr w:rsidR="00124DBA" w:rsidRPr="00124DBA" w14:paraId="58162DC5" w14:textId="77777777">
        <w:tc>
          <w:tcPr>
            <w:tcW w:w="0" w:type="auto"/>
            <w:tcBorders>
              <w:top w:val="nil"/>
              <w:left w:val="nil"/>
              <w:bottom w:val="nil"/>
              <w:right w:val="nil"/>
            </w:tcBorders>
            <w:shd w:val="clear" w:color="auto" w:fill="EEF2F7"/>
            <w:tcMar>
              <w:top w:w="80" w:type="dxa"/>
              <w:left w:w="160" w:type="dxa"/>
              <w:bottom w:w="80" w:type="dxa"/>
              <w:right w:w="160" w:type="dxa"/>
            </w:tcMar>
            <w:hideMark/>
          </w:tcPr>
          <w:p w14:paraId="53E10592" w14:textId="77777777" w:rsidR="00124DBA" w:rsidRPr="00124DBA" w:rsidRDefault="00124DBA" w:rsidP="00124DBA">
            <w:r w:rsidRPr="00124DBA">
              <w:t>Empirical</w:t>
            </w:r>
          </w:p>
        </w:tc>
        <w:tc>
          <w:tcPr>
            <w:tcW w:w="0" w:type="auto"/>
            <w:tcBorders>
              <w:top w:val="nil"/>
              <w:left w:val="nil"/>
              <w:bottom w:val="nil"/>
              <w:right w:val="nil"/>
            </w:tcBorders>
            <w:shd w:val="clear" w:color="auto" w:fill="EEF2F7"/>
            <w:tcMar>
              <w:top w:w="80" w:type="dxa"/>
              <w:left w:w="160" w:type="dxa"/>
              <w:bottom w:w="80" w:type="dxa"/>
              <w:right w:w="160" w:type="dxa"/>
            </w:tcMar>
            <w:hideMark/>
          </w:tcPr>
          <w:p w14:paraId="7A9F9B4F" w14:textId="77777777" w:rsidR="00124DBA" w:rsidRPr="00124DBA" w:rsidRDefault="00124DBA" w:rsidP="00124DBA">
            <w:r w:rsidRPr="00124DBA">
              <w:t>2</w:t>
            </w:r>
          </w:p>
        </w:tc>
      </w:tr>
      <w:tr w:rsidR="00124DBA" w:rsidRPr="00124DBA" w14:paraId="47EA5667" w14:textId="77777777">
        <w:tc>
          <w:tcPr>
            <w:tcW w:w="0" w:type="auto"/>
            <w:tcBorders>
              <w:top w:val="nil"/>
              <w:left w:val="nil"/>
              <w:bottom w:val="nil"/>
              <w:right w:val="nil"/>
            </w:tcBorders>
            <w:shd w:val="clear" w:color="auto" w:fill="FFFFFF"/>
            <w:tcMar>
              <w:top w:w="80" w:type="dxa"/>
              <w:left w:w="160" w:type="dxa"/>
              <w:bottom w:w="80" w:type="dxa"/>
              <w:right w:w="160" w:type="dxa"/>
            </w:tcMar>
            <w:hideMark/>
          </w:tcPr>
          <w:p w14:paraId="65E6B302" w14:textId="77777777" w:rsidR="00124DBA" w:rsidRPr="00124DBA" w:rsidRDefault="00124DBA" w:rsidP="00124DBA">
            <w:r w:rsidRPr="00124DBA">
              <w:t>Evaluation</w:t>
            </w:r>
          </w:p>
        </w:tc>
        <w:tc>
          <w:tcPr>
            <w:tcW w:w="0" w:type="auto"/>
            <w:tcBorders>
              <w:top w:val="nil"/>
              <w:left w:val="nil"/>
              <w:bottom w:val="nil"/>
              <w:right w:val="nil"/>
            </w:tcBorders>
            <w:shd w:val="clear" w:color="auto" w:fill="FFFFFF"/>
            <w:tcMar>
              <w:top w:w="80" w:type="dxa"/>
              <w:left w:w="160" w:type="dxa"/>
              <w:bottom w:w="80" w:type="dxa"/>
              <w:right w:w="160" w:type="dxa"/>
            </w:tcMar>
            <w:hideMark/>
          </w:tcPr>
          <w:p w14:paraId="5E6E48C3" w14:textId="77777777" w:rsidR="00124DBA" w:rsidRPr="00124DBA" w:rsidRDefault="00124DBA" w:rsidP="00124DBA">
            <w:r w:rsidRPr="00124DBA">
              <w:t>6</w:t>
            </w:r>
          </w:p>
        </w:tc>
      </w:tr>
      <w:tr w:rsidR="00124DBA" w:rsidRPr="00124DBA" w14:paraId="054E3C07" w14:textId="77777777">
        <w:tc>
          <w:tcPr>
            <w:tcW w:w="0" w:type="auto"/>
            <w:tcBorders>
              <w:top w:val="nil"/>
              <w:left w:val="nil"/>
              <w:bottom w:val="nil"/>
              <w:right w:val="nil"/>
            </w:tcBorders>
            <w:shd w:val="clear" w:color="auto" w:fill="EEF2F7"/>
            <w:tcMar>
              <w:top w:w="80" w:type="dxa"/>
              <w:left w:w="160" w:type="dxa"/>
              <w:bottom w:w="80" w:type="dxa"/>
              <w:right w:w="160" w:type="dxa"/>
            </w:tcMar>
            <w:hideMark/>
          </w:tcPr>
          <w:p w14:paraId="04018709" w14:textId="77777777" w:rsidR="00124DBA" w:rsidRPr="00124DBA" w:rsidRDefault="00124DBA" w:rsidP="00124DBA">
            <w:r w:rsidRPr="00124DBA">
              <w:t>PEFT</w:t>
            </w:r>
          </w:p>
        </w:tc>
        <w:tc>
          <w:tcPr>
            <w:tcW w:w="0" w:type="auto"/>
            <w:tcBorders>
              <w:top w:val="nil"/>
              <w:left w:val="nil"/>
              <w:bottom w:val="nil"/>
              <w:right w:val="nil"/>
            </w:tcBorders>
            <w:shd w:val="clear" w:color="auto" w:fill="EEF2F7"/>
            <w:tcMar>
              <w:top w:w="80" w:type="dxa"/>
              <w:left w:w="160" w:type="dxa"/>
              <w:bottom w:w="80" w:type="dxa"/>
              <w:right w:w="160" w:type="dxa"/>
            </w:tcMar>
            <w:hideMark/>
          </w:tcPr>
          <w:p w14:paraId="49A62109" w14:textId="77777777" w:rsidR="00124DBA" w:rsidRPr="00124DBA" w:rsidRDefault="00124DBA" w:rsidP="00124DBA">
            <w:r w:rsidRPr="00124DBA">
              <w:t>7</w:t>
            </w:r>
          </w:p>
        </w:tc>
      </w:tr>
      <w:tr w:rsidR="00124DBA" w:rsidRPr="00124DBA" w14:paraId="09C3DC64" w14:textId="77777777">
        <w:tc>
          <w:tcPr>
            <w:tcW w:w="0" w:type="auto"/>
            <w:tcBorders>
              <w:top w:val="nil"/>
              <w:left w:val="nil"/>
              <w:bottom w:val="nil"/>
              <w:right w:val="nil"/>
            </w:tcBorders>
            <w:shd w:val="clear" w:color="auto" w:fill="FFFFFF"/>
            <w:tcMar>
              <w:top w:w="80" w:type="dxa"/>
              <w:left w:w="160" w:type="dxa"/>
              <w:bottom w:w="80" w:type="dxa"/>
              <w:right w:w="160" w:type="dxa"/>
            </w:tcMar>
            <w:hideMark/>
          </w:tcPr>
          <w:p w14:paraId="25617F48" w14:textId="77777777" w:rsidR="00124DBA" w:rsidRPr="00124DBA" w:rsidRDefault="00124DBA" w:rsidP="00124DBA">
            <w:r w:rsidRPr="00124DBA">
              <w:t>Safety</w:t>
            </w:r>
          </w:p>
        </w:tc>
        <w:tc>
          <w:tcPr>
            <w:tcW w:w="0" w:type="auto"/>
            <w:tcBorders>
              <w:top w:val="nil"/>
              <w:left w:val="nil"/>
              <w:bottom w:val="nil"/>
              <w:right w:val="nil"/>
            </w:tcBorders>
            <w:shd w:val="clear" w:color="auto" w:fill="FFFFFF"/>
            <w:tcMar>
              <w:top w:w="80" w:type="dxa"/>
              <w:left w:w="160" w:type="dxa"/>
              <w:bottom w:w="80" w:type="dxa"/>
              <w:right w:w="160" w:type="dxa"/>
            </w:tcMar>
            <w:hideMark/>
          </w:tcPr>
          <w:p w14:paraId="285CC37A" w14:textId="77777777" w:rsidR="00124DBA" w:rsidRPr="00124DBA" w:rsidRDefault="00124DBA" w:rsidP="00124DBA">
            <w:r w:rsidRPr="00124DBA">
              <w:t>5</w:t>
            </w:r>
          </w:p>
        </w:tc>
      </w:tr>
      <w:tr w:rsidR="00124DBA" w:rsidRPr="00124DBA" w14:paraId="77FBD389" w14:textId="77777777">
        <w:tc>
          <w:tcPr>
            <w:tcW w:w="0" w:type="auto"/>
            <w:tcBorders>
              <w:top w:val="nil"/>
              <w:left w:val="nil"/>
              <w:bottom w:val="nil"/>
              <w:right w:val="nil"/>
            </w:tcBorders>
            <w:shd w:val="clear" w:color="auto" w:fill="EEF2F7"/>
            <w:tcMar>
              <w:top w:w="80" w:type="dxa"/>
              <w:left w:w="160" w:type="dxa"/>
              <w:bottom w:w="80" w:type="dxa"/>
              <w:right w:w="160" w:type="dxa"/>
            </w:tcMar>
            <w:hideMark/>
          </w:tcPr>
          <w:p w14:paraId="39EA9D3A" w14:textId="77777777" w:rsidR="00124DBA" w:rsidRPr="00124DBA" w:rsidRDefault="00124DBA" w:rsidP="00124DBA">
            <w:r w:rsidRPr="00124DBA">
              <w:t>Security</w:t>
            </w:r>
          </w:p>
        </w:tc>
        <w:tc>
          <w:tcPr>
            <w:tcW w:w="0" w:type="auto"/>
            <w:tcBorders>
              <w:top w:val="nil"/>
              <w:left w:val="nil"/>
              <w:bottom w:val="nil"/>
              <w:right w:val="nil"/>
            </w:tcBorders>
            <w:shd w:val="clear" w:color="auto" w:fill="EEF2F7"/>
            <w:tcMar>
              <w:top w:w="80" w:type="dxa"/>
              <w:left w:w="160" w:type="dxa"/>
              <w:bottom w:w="80" w:type="dxa"/>
              <w:right w:w="160" w:type="dxa"/>
            </w:tcMar>
            <w:hideMark/>
          </w:tcPr>
          <w:p w14:paraId="789E9D0C" w14:textId="77777777" w:rsidR="00124DBA" w:rsidRPr="00124DBA" w:rsidRDefault="00124DBA" w:rsidP="00124DBA">
            <w:r w:rsidRPr="00124DBA">
              <w:t>7</w:t>
            </w:r>
          </w:p>
        </w:tc>
      </w:tr>
    </w:tbl>
    <w:p w14:paraId="12EF2A7B" w14:textId="77777777" w:rsidR="00124DBA" w:rsidRPr="00124DBA" w:rsidRDefault="00124DBA" w:rsidP="00124DBA"/>
    <w:p w14:paraId="7C3D5FF6" w14:textId="77777777" w:rsidR="00124DBA" w:rsidRPr="00124DBA" w:rsidRDefault="00124DBA" w:rsidP="00124DBA">
      <w:r w:rsidRPr="00124DBA">
        <w:rPr>
          <w:b/>
          <w:bCs/>
        </w:rPr>
        <w:t>By priority:</w:t>
      </w:r>
    </w:p>
    <w:p w14:paraId="599751CF" w14:textId="77777777" w:rsidR="00124DBA" w:rsidRPr="00124DBA" w:rsidRDefault="00124DBA" w:rsidP="00124DBA">
      <w:pPr>
        <w:numPr>
          <w:ilvl w:val="0"/>
          <w:numId w:val="1"/>
        </w:numPr>
      </w:pPr>
      <w:r w:rsidRPr="00124DBA">
        <w:t>Critical — 11 papers</w:t>
      </w:r>
    </w:p>
    <w:p w14:paraId="1D2A4C57" w14:textId="77777777" w:rsidR="00124DBA" w:rsidRPr="00124DBA" w:rsidRDefault="00124DBA" w:rsidP="00124DBA">
      <w:pPr>
        <w:numPr>
          <w:ilvl w:val="0"/>
          <w:numId w:val="1"/>
        </w:numPr>
      </w:pPr>
      <w:r w:rsidRPr="00124DBA">
        <w:t>Important — 10 papers</w:t>
      </w:r>
    </w:p>
    <w:p w14:paraId="7ABF6CC9" w14:textId="77777777" w:rsidR="00124DBA" w:rsidRPr="00124DBA" w:rsidRDefault="00124DBA" w:rsidP="00124DBA">
      <w:pPr>
        <w:numPr>
          <w:ilvl w:val="0"/>
          <w:numId w:val="1"/>
        </w:numPr>
      </w:pPr>
      <w:r w:rsidRPr="00124DBA">
        <w:t>Context — 9 papers</w:t>
      </w:r>
    </w:p>
    <w:p w14:paraId="1CBD4A4A" w14:textId="77777777" w:rsidR="00124DBA" w:rsidRPr="00124DBA" w:rsidRDefault="00124DBA" w:rsidP="00124DBA"/>
    <w:p w14:paraId="24D7C8AF" w14:textId="77777777" w:rsidR="00124DBA" w:rsidRPr="00124DBA" w:rsidRDefault="00124DBA" w:rsidP="00124DBA">
      <w:pPr>
        <w:rPr>
          <w:b/>
          <w:bCs/>
        </w:rPr>
      </w:pPr>
      <w:r w:rsidRPr="00124DBA">
        <w:rPr>
          <w:b/>
          <w:bCs/>
        </w:rPr>
        <w:t>Paper Inventory</w:t>
      </w:r>
    </w:p>
    <w:p w14:paraId="053AA636" w14:textId="77777777" w:rsidR="00124DBA" w:rsidRPr="00124DBA" w:rsidRDefault="00124DBA" w:rsidP="00124DBA">
      <w:r w:rsidRPr="00124DBA">
        <w:rPr>
          <w:b/>
          <w:bCs/>
        </w:rPr>
        <w:t xml:space="preserve">01. </w:t>
      </w:r>
      <w:proofErr w:type="spellStart"/>
      <w:r w:rsidRPr="00124DBA">
        <w:rPr>
          <w:b/>
          <w:bCs/>
        </w:rPr>
        <w:t>LoRA</w:t>
      </w:r>
      <w:proofErr w:type="spellEnd"/>
      <w:r w:rsidRPr="00124DBA">
        <w:rPr>
          <w:b/>
          <w:bCs/>
        </w:rPr>
        <w:t>: Low-Rank Adaptation of Large Language Models (2021)</w:t>
      </w:r>
    </w:p>
    <w:p w14:paraId="360727C8" w14:textId="77777777" w:rsidR="00124DBA" w:rsidRPr="00124DBA" w:rsidRDefault="00124DBA" w:rsidP="00124DBA">
      <w:r w:rsidRPr="00124DBA">
        <w:t>Decomposes weight updates into trainable low-rank matrices, reducing trainable parameters by up to 10,000× while preserving downstream quality.</w:t>
      </w:r>
    </w:p>
    <w:p w14:paraId="4B8DE60B" w14:textId="77777777" w:rsidR="00124DBA" w:rsidRPr="00124DBA" w:rsidRDefault="00124DBA" w:rsidP="00124DBA">
      <w:r w:rsidRPr="00124DBA">
        <w:rPr>
          <w:b/>
          <w:bCs/>
        </w:rPr>
        <w:t xml:space="preserve">02. </w:t>
      </w:r>
      <w:proofErr w:type="spellStart"/>
      <w:r w:rsidRPr="00124DBA">
        <w:rPr>
          <w:b/>
          <w:bCs/>
        </w:rPr>
        <w:t>QLoRA</w:t>
      </w:r>
      <w:proofErr w:type="spellEnd"/>
      <w:r w:rsidRPr="00124DBA">
        <w:rPr>
          <w:b/>
          <w:bCs/>
        </w:rPr>
        <w:t>: Efficient Finetuning of Quantized LLMs (2023)</w:t>
      </w:r>
    </w:p>
    <w:p w14:paraId="1DBF0B4A" w14:textId="77777777" w:rsidR="00124DBA" w:rsidRPr="00124DBA" w:rsidRDefault="00124DBA" w:rsidP="00124DBA">
      <w:r w:rsidRPr="00124DBA">
        <w:t xml:space="preserve">4-bit </w:t>
      </w:r>
      <w:proofErr w:type="spellStart"/>
      <w:r w:rsidRPr="00124DBA">
        <w:t>NormalFloat</w:t>
      </w:r>
      <w:proofErr w:type="spellEnd"/>
      <w:r w:rsidRPr="00124DBA">
        <w:t xml:space="preserve"> quantization + paged optimizers enabling 65B-parameter fine-tuning on a single 48GB GPU.</w:t>
      </w:r>
    </w:p>
    <w:p w14:paraId="4520E0D0" w14:textId="77777777" w:rsidR="00124DBA" w:rsidRPr="00124DBA" w:rsidRDefault="00124DBA" w:rsidP="00124DBA">
      <w:r w:rsidRPr="00124DBA">
        <w:rPr>
          <w:b/>
          <w:bCs/>
        </w:rPr>
        <w:t xml:space="preserve">03. </w:t>
      </w:r>
      <w:proofErr w:type="spellStart"/>
      <w:r w:rsidRPr="00124DBA">
        <w:rPr>
          <w:b/>
          <w:bCs/>
        </w:rPr>
        <w:t>AdaLoRA</w:t>
      </w:r>
      <w:proofErr w:type="spellEnd"/>
      <w:r w:rsidRPr="00124DBA">
        <w:rPr>
          <w:b/>
          <w:bCs/>
        </w:rPr>
        <w:t>: Adaptive Budget Allocation for Parameter-Efficient Fine-Tuning (2023)</w:t>
      </w:r>
    </w:p>
    <w:p w14:paraId="195D579E" w14:textId="77777777" w:rsidR="00124DBA" w:rsidRPr="00124DBA" w:rsidRDefault="00124DBA" w:rsidP="00124DBA">
      <w:r w:rsidRPr="00124DBA">
        <w:t>SVD-based importance scoring to prune unimportant singular values, redistributing parameter budget across layers.</w:t>
      </w:r>
    </w:p>
    <w:p w14:paraId="2CF709E3" w14:textId="77777777" w:rsidR="00124DBA" w:rsidRPr="00124DBA" w:rsidRDefault="00124DBA" w:rsidP="00124DBA">
      <w:r w:rsidRPr="00124DBA">
        <w:rPr>
          <w:b/>
          <w:bCs/>
        </w:rPr>
        <w:t xml:space="preserve">05. </w:t>
      </w:r>
      <w:proofErr w:type="spellStart"/>
      <w:r w:rsidRPr="00124DBA">
        <w:rPr>
          <w:b/>
          <w:bCs/>
        </w:rPr>
        <w:t>DoRA</w:t>
      </w:r>
      <w:proofErr w:type="spellEnd"/>
      <w:r w:rsidRPr="00124DBA">
        <w:rPr>
          <w:b/>
          <w:bCs/>
        </w:rPr>
        <w:t>: Weight-Decomposed Low-Rank Adaptation (2024)</w:t>
      </w:r>
    </w:p>
    <w:p w14:paraId="1C4319DE" w14:textId="77777777" w:rsidR="00124DBA" w:rsidRPr="00124DBA" w:rsidRDefault="00124DBA" w:rsidP="00124DBA">
      <w:r w:rsidRPr="00124DBA">
        <w:lastRenderedPageBreak/>
        <w:t xml:space="preserve">Decomposes pretrained weights into magnitude and direction; only the direction is updated by </w:t>
      </w:r>
      <w:proofErr w:type="spellStart"/>
      <w:r w:rsidRPr="00124DBA">
        <w:t>LoRA</w:t>
      </w:r>
      <w:proofErr w:type="spellEnd"/>
      <w:r w:rsidRPr="00124DBA">
        <w:t>, narrowing the gap to full fine-tuning.</w:t>
      </w:r>
    </w:p>
    <w:p w14:paraId="5544094D" w14:textId="77777777" w:rsidR="00124DBA" w:rsidRPr="00124DBA" w:rsidRDefault="00124DBA" w:rsidP="00124DBA">
      <w:r w:rsidRPr="00124DBA">
        <w:rPr>
          <w:b/>
          <w:bCs/>
        </w:rPr>
        <w:t>06. Survey on Parameter-Efficient Fine-Tuning Methods (2024)</w:t>
      </w:r>
    </w:p>
    <w:p w14:paraId="2E25BCE5" w14:textId="77777777" w:rsidR="00124DBA" w:rsidRPr="00124DBA" w:rsidRDefault="00124DBA" w:rsidP="00124DBA">
      <w:r w:rsidRPr="00124DBA">
        <w:t xml:space="preserve">Comprehensive taxonomy of PEFT (additive, selective, </w:t>
      </w:r>
      <w:proofErr w:type="spellStart"/>
      <w:r w:rsidRPr="00124DBA">
        <w:t>reparameterized</w:t>
      </w:r>
      <w:proofErr w:type="spellEnd"/>
      <w:r w:rsidRPr="00124DBA">
        <w:t>, hybrid) with empirical efficiency comparisons.</w:t>
      </w:r>
    </w:p>
    <w:p w14:paraId="78CC6292" w14:textId="77777777" w:rsidR="00124DBA" w:rsidRPr="00124DBA" w:rsidRDefault="00124DBA" w:rsidP="00124DBA">
      <w:r w:rsidRPr="00124DBA">
        <w:rPr>
          <w:b/>
          <w:bCs/>
        </w:rPr>
        <w:t>07. Prefix-Tuning: Optimizing Continuous Prompts for Generation (2021)</w:t>
      </w:r>
    </w:p>
    <w:p w14:paraId="53EE82E2" w14:textId="77777777" w:rsidR="00124DBA" w:rsidRPr="00124DBA" w:rsidRDefault="00124DBA" w:rsidP="00124DBA">
      <w:r w:rsidRPr="00124DBA">
        <w:t>Trains a small continuous prefix prepended to attention keys/values, leaving base weights frozen.</w:t>
      </w:r>
    </w:p>
    <w:p w14:paraId="001FFE15" w14:textId="77777777" w:rsidR="00124DBA" w:rsidRPr="00124DBA" w:rsidRDefault="00124DBA" w:rsidP="00124DBA">
      <w:r w:rsidRPr="00124DBA">
        <w:rPr>
          <w:b/>
          <w:bCs/>
        </w:rPr>
        <w:t>08. SaLoRA: Safety-Alignment Preserved Low-Rank Adaptation (2024)</w:t>
      </w:r>
    </w:p>
    <w:p w14:paraId="66632745" w14:textId="77777777" w:rsidR="00124DBA" w:rsidRPr="00124DBA" w:rsidRDefault="00124DBA" w:rsidP="00124DBA">
      <w:r w:rsidRPr="00124DBA">
        <w:t xml:space="preserve">Constrains </w:t>
      </w:r>
      <w:proofErr w:type="spellStart"/>
      <w:r w:rsidRPr="00124DBA">
        <w:t>LoRA</w:t>
      </w:r>
      <w:proofErr w:type="spellEnd"/>
      <w:r w:rsidRPr="00124DBA">
        <w:t xml:space="preserve"> updates to a safety-orthogonal subspace, preserving alignment after fine-tuning.</w:t>
      </w:r>
    </w:p>
    <w:p w14:paraId="04E67264" w14:textId="77777777" w:rsidR="00124DBA" w:rsidRPr="00124DBA" w:rsidRDefault="00124DBA" w:rsidP="00124DBA">
      <w:r w:rsidRPr="00124DBA">
        <w:rPr>
          <w:b/>
          <w:bCs/>
        </w:rPr>
        <w:t xml:space="preserve">09. Safe </w:t>
      </w:r>
      <w:proofErr w:type="spellStart"/>
      <w:r w:rsidRPr="00124DBA">
        <w:rPr>
          <w:b/>
          <w:bCs/>
        </w:rPr>
        <w:t>LoRA</w:t>
      </w:r>
      <w:proofErr w:type="spellEnd"/>
      <w:r w:rsidRPr="00124DBA">
        <w:rPr>
          <w:b/>
          <w:bCs/>
        </w:rPr>
        <w:t>: The Silver Lining of Reducing Safety Risks (2024)</w:t>
      </w:r>
    </w:p>
    <w:p w14:paraId="17BF0C8B" w14:textId="77777777" w:rsidR="00124DBA" w:rsidRPr="00124DBA" w:rsidRDefault="00124DBA" w:rsidP="00124DBA">
      <w:r w:rsidRPr="00124DBA">
        <w:t>Identifies a safety subspace that, if preserved, prevents alignment loss without retraining the safety layer.</w:t>
      </w:r>
    </w:p>
    <w:p w14:paraId="1750FC67" w14:textId="77777777" w:rsidR="00124DBA" w:rsidRPr="00124DBA" w:rsidRDefault="00124DBA" w:rsidP="00124DBA">
      <w:r w:rsidRPr="00124DBA">
        <w:rPr>
          <w:b/>
          <w:bCs/>
        </w:rPr>
        <w:t>10. Constitutional AI: Harmlessness from AI Feedback (2022)</w:t>
      </w:r>
    </w:p>
    <w:p w14:paraId="18EFAEF9" w14:textId="77777777" w:rsidR="00124DBA" w:rsidRPr="00124DBA" w:rsidRDefault="00124DBA" w:rsidP="00124DBA">
      <w:r w:rsidRPr="00124DBA">
        <w:t>RLAIF pipeline that distils a constitutional principle set into model behaviour, eliminating the need for harmful human labels.</w:t>
      </w:r>
    </w:p>
    <w:p w14:paraId="3E1838BC" w14:textId="77777777" w:rsidR="00124DBA" w:rsidRPr="00124DBA" w:rsidRDefault="00124DBA" w:rsidP="00124DBA">
      <w:r w:rsidRPr="00124DBA">
        <w:rPr>
          <w:b/>
          <w:bCs/>
        </w:rPr>
        <w:t xml:space="preserve">11. </w:t>
      </w:r>
      <w:proofErr w:type="spellStart"/>
      <w:r w:rsidRPr="00124DBA">
        <w:rPr>
          <w:b/>
          <w:bCs/>
        </w:rPr>
        <w:t>TruthfulQA</w:t>
      </w:r>
      <w:proofErr w:type="spellEnd"/>
      <w:r w:rsidRPr="00124DBA">
        <w:rPr>
          <w:b/>
          <w:bCs/>
        </w:rPr>
        <w:t>: Measuring How Models Mimic Human Falsehoods (2022)</w:t>
      </w:r>
    </w:p>
    <w:p w14:paraId="42455991" w14:textId="77777777" w:rsidR="00124DBA" w:rsidRPr="00124DBA" w:rsidRDefault="00124DBA" w:rsidP="00124DBA">
      <w:r w:rsidRPr="00124DBA">
        <w:t>817-question benchmark targeting common human misconceptions, with strict adversarial scoring.</w:t>
      </w:r>
    </w:p>
    <w:p w14:paraId="7989DE46" w14:textId="77777777" w:rsidR="00124DBA" w:rsidRPr="00124DBA" w:rsidRDefault="00124DBA" w:rsidP="00124DBA">
      <w:r w:rsidRPr="00124DBA">
        <w:rPr>
          <w:b/>
          <w:bCs/>
        </w:rPr>
        <w:t>12. Red Teaming Language Models with Language Models (2022)</w:t>
      </w:r>
    </w:p>
    <w:p w14:paraId="39211206" w14:textId="77777777" w:rsidR="00124DBA" w:rsidRPr="00124DBA" w:rsidRDefault="00124DBA" w:rsidP="00124DBA">
      <w:r w:rsidRPr="00124DBA">
        <w:t>LM-driven red-teaming that automatically generates test prompts and classifies harmful continuations at scale.</w:t>
      </w:r>
    </w:p>
    <w:p w14:paraId="44BD4DEA" w14:textId="77777777" w:rsidR="00124DBA" w:rsidRPr="00124DBA" w:rsidRDefault="00124DBA" w:rsidP="00124DBA">
      <w:r w:rsidRPr="00124DBA">
        <w:rPr>
          <w:b/>
          <w:bCs/>
        </w:rPr>
        <w:t>13. BOLD: Dataset and Metrics for Measuring Biases (2021)</w:t>
      </w:r>
    </w:p>
    <w:p w14:paraId="2D62ECC4" w14:textId="77777777" w:rsidR="00124DBA" w:rsidRPr="00124DBA" w:rsidRDefault="00124DBA" w:rsidP="00124DBA">
      <w:r w:rsidRPr="00124DBA">
        <w:t>Open-domain bias benchmark spanning gender, race, profession, religion and political ideology with 23k prompts.</w:t>
      </w:r>
    </w:p>
    <w:p w14:paraId="4721DE1D" w14:textId="77777777" w:rsidR="00124DBA" w:rsidRPr="00124DBA" w:rsidRDefault="00124DBA" w:rsidP="00124DBA">
      <w:r w:rsidRPr="00124DBA">
        <w:rPr>
          <w:b/>
          <w:bCs/>
        </w:rPr>
        <w:t>14. Jailbroken: How Does LLM Safety Training Fail? (2023)</w:t>
      </w:r>
    </w:p>
    <w:p w14:paraId="7952E03D" w14:textId="77777777" w:rsidR="00124DBA" w:rsidRPr="00124DBA" w:rsidRDefault="00124DBA" w:rsidP="00124DBA">
      <w:r w:rsidRPr="00124DBA">
        <w:t>Identifies competing-objectives and mismatched-generalisation as the two root causes of safety failure modes.</w:t>
      </w:r>
    </w:p>
    <w:p w14:paraId="7B717EF7" w14:textId="77777777" w:rsidR="00124DBA" w:rsidRPr="00124DBA" w:rsidRDefault="00124DBA" w:rsidP="00124DBA">
      <w:r w:rsidRPr="00124DBA">
        <w:rPr>
          <w:b/>
          <w:bCs/>
        </w:rPr>
        <w:lastRenderedPageBreak/>
        <w:t>15. Universal and Transferable Adversarial Attacks on Aligned Language Models (2023)</w:t>
      </w:r>
    </w:p>
    <w:p w14:paraId="4C20BED8" w14:textId="77777777" w:rsidR="00124DBA" w:rsidRPr="00124DBA" w:rsidRDefault="00124DBA" w:rsidP="00124DBA">
      <w:r w:rsidRPr="00124DBA">
        <w:t>Gradient-based suffix optimization producing universal jailbreak strings that transfer across aligned LLMs.</w:t>
      </w:r>
    </w:p>
    <w:p w14:paraId="1F463AB7" w14:textId="77777777" w:rsidR="00124DBA" w:rsidRPr="00124DBA" w:rsidRDefault="00124DBA" w:rsidP="00124DBA">
      <w:r w:rsidRPr="00124DBA">
        <w:rPr>
          <w:b/>
          <w:bCs/>
        </w:rPr>
        <w:t xml:space="preserve">16. </w:t>
      </w:r>
      <w:proofErr w:type="spellStart"/>
      <w:r w:rsidRPr="00124DBA">
        <w:rPr>
          <w:b/>
          <w:bCs/>
        </w:rPr>
        <w:t>PEFTGuard</w:t>
      </w:r>
      <w:proofErr w:type="spellEnd"/>
      <w:r w:rsidRPr="00124DBA">
        <w:rPr>
          <w:b/>
          <w:bCs/>
        </w:rPr>
        <w:t>: Detecting Backdoor Attacks Against Parameter-Efficient Fine-Tuning (2025)</w:t>
      </w:r>
    </w:p>
    <w:p w14:paraId="64473494" w14:textId="77777777" w:rsidR="00124DBA" w:rsidRPr="00124DBA" w:rsidRDefault="00124DBA" w:rsidP="00124DBA">
      <w:r w:rsidRPr="00124DBA">
        <w:t xml:space="preserve">First backdoor-detection framework purpose-built for PEFT adapters. Discriminates clean vs. backdoored </w:t>
      </w:r>
      <w:proofErr w:type="spellStart"/>
      <w:r w:rsidRPr="00124DBA">
        <w:t>LoRAs</w:t>
      </w:r>
      <w:proofErr w:type="spellEnd"/>
      <w:r w:rsidRPr="00124DBA">
        <w:t xml:space="preserve"> from weight-space features alone (no inference required) with high AUROC; published at IEEE S&amp;P 2025.</w:t>
      </w:r>
    </w:p>
    <w:p w14:paraId="1AB8F127" w14:textId="77777777" w:rsidR="00124DBA" w:rsidRPr="00124DBA" w:rsidRDefault="00124DBA" w:rsidP="00124DBA">
      <w:r w:rsidRPr="00124DBA">
        <w:rPr>
          <w:b/>
          <w:bCs/>
        </w:rPr>
        <w:t xml:space="preserve">17. </w:t>
      </w:r>
      <w:proofErr w:type="spellStart"/>
      <w:r w:rsidRPr="00124DBA">
        <w:rPr>
          <w:b/>
          <w:bCs/>
        </w:rPr>
        <w:t>LoRA</w:t>
      </w:r>
      <w:proofErr w:type="spellEnd"/>
      <w:r w:rsidRPr="00124DBA">
        <w:rPr>
          <w:b/>
          <w:bCs/>
        </w:rPr>
        <w:t>-as-an-Attack: Piercing LLM Safety (2024)</w:t>
      </w:r>
    </w:p>
    <w:p w14:paraId="44082169" w14:textId="77777777" w:rsidR="00124DBA" w:rsidRPr="00124DBA" w:rsidRDefault="00124DBA" w:rsidP="00124DBA">
      <w:r w:rsidRPr="00124DBA">
        <w:t xml:space="preserve">Shows that small, malicious </w:t>
      </w:r>
      <w:proofErr w:type="spellStart"/>
      <w:r w:rsidRPr="00124DBA">
        <w:t>LoRA</w:t>
      </w:r>
      <w:proofErr w:type="spellEnd"/>
      <w:r w:rsidRPr="00124DBA">
        <w:t xml:space="preserve"> adapters can disable safety guardrails of aligned base models with negligible utility cost.</w:t>
      </w:r>
    </w:p>
    <w:p w14:paraId="06F6947C" w14:textId="77777777" w:rsidR="00124DBA" w:rsidRPr="00124DBA" w:rsidRDefault="00124DBA" w:rsidP="00124DBA">
      <w:r w:rsidRPr="00124DBA">
        <w:rPr>
          <w:b/>
          <w:bCs/>
        </w:rPr>
        <w:t>18. Survey on Backdoor Attacks on Language Models (2024)</w:t>
      </w:r>
    </w:p>
    <w:p w14:paraId="3CAB1CA2" w14:textId="77777777" w:rsidR="00124DBA" w:rsidRPr="00124DBA" w:rsidRDefault="00124DBA" w:rsidP="00124DBA">
      <w:r w:rsidRPr="00124DBA">
        <w:t>Comprehensive taxonomy of backdoor attack vectors, triggers and defences in language models.</w:t>
      </w:r>
    </w:p>
    <w:p w14:paraId="0B76468D" w14:textId="77777777" w:rsidR="00124DBA" w:rsidRPr="00124DBA" w:rsidRDefault="00124DBA" w:rsidP="00124DBA">
      <w:r w:rsidRPr="00124DBA">
        <w:rPr>
          <w:b/>
          <w:bCs/>
        </w:rPr>
        <w:t xml:space="preserve">19. </w:t>
      </w:r>
      <w:proofErr w:type="spellStart"/>
      <w:r w:rsidRPr="00124DBA">
        <w:rPr>
          <w:b/>
          <w:bCs/>
        </w:rPr>
        <w:t>BadNets</w:t>
      </w:r>
      <w:proofErr w:type="spellEnd"/>
      <w:r w:rsidRPr="00124DBA">
        <w:rPr>
          <w:b/>
          <w:bCs/>
        </w:rPr>
        <w:t>: Identifying Vulnerabilities in the ML Model Supply Chain (2017)</w:t>
      </w:r>
    </w:p>
    <w:p w14:paraId="537D3E94" w14:textId="77777777" w:rsidR="00124DBA" w:rsidRPr="00124DBA" w:rsidRDefault="00124DBA" w:rsidP="00124DBA">
      <w:r w:rsidRPr="00124DBA">
        <w:t>First demonstration that pretrained-model supply chains can hide trigger-activated misbehaviour.</w:t>
      </w:r>
    </w:p>
    <w:p w14:paraId="06D685D1" w14:textId="77777777" w:rsidR="00124DBA" w:rsidRPr="00124DBA" w:rsidRDefault="00124DBA" w:rsidP="00124DBA">
      <w:r w:rsidRPr="00124DBA">
        <w:rPr>
          <w:b/>
          <w:bCs/>
        </w:rPr>
        <w:t>20. On the Exploitability of Instruction Tuning (2023)</w:t>
      </w:r>
    </w:p>
    <w:p w14:paraId="6ED8526E" w14:textId="77777777" w:rsidR="00124DBA" w:rsidRPr="00124DBA" w:rsidRDefault="00124DBA" w:rsidP="00124DBA">
      <w:r w:rsidRPr="00124DBA">
        <w:t>Tiny amounts of poisoned instruction-tuning data implant durable behavioural backdoors.</w:t>
      </w:r>
    </w:p>
    <w:p w14:paraId="7BDF25F1" w14:textId="77777777" w:rsidR="00124DBA" w:rsidRPr="00124DBA" w:rsidRDefault="00124DBA" w:rsidP="00124DBA">
      <w:r w:rsidRPr="00124DBA">
        <w:rPr>
          <w:b/>
          <w:bCs/>
        </w:rPr>
        <w:t xml:space="preserve">21. </w:t>
      </w:r>
      <w:proofErr w:type="spellStart"/>
      <w:r w:rsidRPr="00124DBA">
        <w:rPr>
          <w:b/>
          <w:bCs/>
        </w:rPr>
        <w:t>ZKLoRA</w:t>
      </w:r>
      <w:proofErr w:type="spellEnd"/>
      <w:r w:rsidRPr="00124DBA">
        <w:rPr>
          <w:b/>
          <w:bCs/>
        </w:rPr>
        <w:t xml:space="preserve">: Efficient Zero-Knowledge Proofs for </w:t>
      </w:r>
      <w:proofErr w:type="spellStart"/>
      <w:r w:rsidRPr="00124DBA">
        <w:rPr>
          <w:b/>
          <w:bCs/>
        </w:rPr>
        <w:t>LoRA</w:t>
      </w:r>
      <w:proofErr w:type="spellEnd"/>
      <w:r w:rsidRPr="00124DBA">
        <w:rPr>
          <w:b/>
          <w:bCs/>
        </w:rPr>
        <w:t xml:space="preserve"> Verification (2025)</w:t>
      </w:r>
    </w:p>
    <w:p w14:paraId="3ABF829E" w14:textId="77777777" w:rsidR="00124DBA" w:rsidRPr="00124DBA" w:rsidRDefault="00124DBA" w:rsidP="00124DBA">
      <w:r w:rsidRPr="00124DBA">
        <w:t xml:space="preserve">Succinct zero-knowledge proofs for verifying </w:t>
      </w:r>
      <w:proofErr w:type="spellStart"/>
      <w:r w:rsidRPr="00124DBA">
        <w:t>LoRA</w:t>
      </w:r>
      <w:proofErr w:type="spellEnd"/>
      <w:r w:rsidRPr="00124DBA">
        <w:t xml:space="preserve"> adapter integrity without exposing weights.</w:t>
      </w:r>
    </w:p>
    <w:p w14:paraId="6002A8CF" w14:textId="77777777" w:rsidR="00124DBA" w:rsidRPr="00124DBA" w:rsidRDefault="00124DBA" w:rsidP="00124DBA">
      <w:r w:rsidRPr="00124DBA">
        <w:rPr>
          <w:b/>
          <w:bCs/>
        </w:rPr>
        <w:t>22. HELM: Holistic Evaluation of Language Models (2023)</w:t>
      </w:r>
    </w:p>
    <w:p w14:paraId="6112FCFE" w14:textId="77777777" w:rsidR="00124DBA" w:rsidRPr="00124DBA" w:rsidRDefault="00124DBA" w:rsidP="00124DBA">
      <w:r w:rsidRPr="00124DBA">
        <w:t>Benchmark covering 42 scenarios and 7 metric categories with transparent reporting.</w:t>
      </w:r>
    </w:p>
    <w:p w14:paraId="3080766A" w14:textId="77777777" w:rsidR="00124DBA" w:rsidRPr="00124DBA" w:rsidRDefault="00124DBA" w:rsidP="00124DBA">
      <w:r w:rsidRPr="00124DBA">
        <w:rPr>
          <w:b/>
          <w:bCs/>
        </w:rPr>
        <w:t>23. Evaluating Large Language Models: A Comprehensive Survey (2023)</w:t>
      </w:r>
    </w:p>
    <w:p w14:paraId="4B4B87B0" w14:textId="77777777" w:rsidR="00124DBA" w:rsidRPr="00124DBA" w:rsidRDefault="00124DBA" w:rsidP="00124DBA">
      <w:r w:rsidRPr="00124DBA">
        <w:t>Surveys ~200 LLM evaluation works across capability, alignment and reliability axes.</w:t>
      </w:r>
    </w:p>
    <w:p w14:paraId="2BA15A35" w14:textId="77777777" w:rsidR="00124DBA" w:rsidRPr="00124DBA" w:rsidRDefault="00124DBA" w:rsidP="00124DBA">
      <w:r w:rsidRPr="00124DBA">
        <w:rPr>
          <w:b/>
          <w:bCs/>
        </w:rPr>
        <w:t xml:space="preserve">24. Beyond Accuracy: </w:t>
      </w:r>
      <w:proofErr w:type="spellStart"/>
      <w:r w:rsidRPr="00124DBA">
        <w:rPr>
          <w:b/>
          <w:bCs/>
        </w:rPr>
        <w:t>Behavioral</w:t>
      </w:r>
      <w:proofErr w:type="spellEnd"/>
      <w:r w:rsidRPr="00124DBA">
        <w:rPr>
          <w:b/>
          <w:bCs/>
        </w:rPr>
        <w:t xml:space="preserve"> Testing of NLP Models with </w:t>
      </w:r>
      <w:proofErr w:type="spellStart"/>
      <w:r w:rsidRPr="00124DBA">
        <w:rPr>
          <w:b/>
          <w:bCs/>
        </w:rPr>
        <w:t>CheckList</w:t>
      </w:r>
      <w:proofErr w:type="spellEnd"/>
      <w:r w:rsidRPr="00124DBA">
        <w:rPr>
          <w:b/>
          <w:bCs/>
        </w:rPr>
        <w:t xml:space="preserve"> (2020)</w:t>
      </w:r>
    </w:p>
    <w:p w14:paraId="680E72FA" w14:textId="77777777" w:rsidR="00124DBA" w:rsidRPr="00124DBA" w:rsidRDefault="00124DBA" w:rsidP="00124DBA">
      <w:r w:rsidRPr="00124DBA">
        <w:t>Capability-driven test framework using minimum functionality, invariance and directional expectation tests.</w:t>
      </w:r>
    </w:p>
    <w:p w14:paraId="0D5DC4DA" w14:textId="77777777" w:rsidR="00124DBA" w:rsidRPr="00124DBA" w:rsidRDefault="00124DBA" w:rsidP="00124DBA">
      <w:r w:rsidRPr="00124DBA">
        <w:rPr>
          <w:b/>
          <w:bCs/>
        </w:rPr>
        <w:t>25. MMLU: Measuring Massive Multitask Language Understanding (2021)</w:t>
      </w:r>
    </w:p>
    <w:p w14:paraId="6155A57A" w14:textId="77777777" w:rsidR="00124DBA" w:rsidRPr="00124DBA" w:rsidRDefault="00124DBA" w:rsidP="00124DBA">
      <w:r w:rsidRPr="00124DBA">
        <w:lastRenderedPageBreak/>
        <w:t>57-task multi-domain knowledge benchmark covering humanities, STEM and professional disciplines.</w:t>
      </w:r>
    </w:p>
    <w:p w14:paraId="2DBA21B2" w14:textId="77777777" w:rsidR="00124DBA" w:rsidRPr="00124DBA" w:rsidRDefault="00124DBA" w:rsidP="00124DBA">
      <w:r w:rsidRPr="00124DBA">
        <w:rPr>
          <w:b/>
          <w:bCs/>
        </w:rPr>
        <w:t>26. Fine-Tuning Aligned Language Models Compromises Safety (2023)</w:t>
      </w:r>
    </w:p>
    <w:p w14:paraId="58AB847A" w14:textId="77777777" w:rsidR="00124DBA" w:rsidRPr="00124DBA" w:rsidRDefault="00124DBA" w:rsidP="00124DBA">
      <w:r w:rsidRPr="00124DBA">
        <w:t>Demonstrates that as few as 10 adversarial examples can disable RLHF safety in aligned models.</w:t>
      </w:r>
    </w:p>
    <w:p w14:paraId="47061BDB" w14:textId="77777777" w:rsidR="00124DBA" w:rsidRPr="00124DBA" w:rsidRDefault="00124DBA" w:rsidP="00124DBA">
      <w:r w:rsidRPr="00124DBA">
        <w:rPr>
          <w:b/>
          <w:bCs/>
        </w:rPr>
        <w:t xml:space="preserve">27. </w:t>
      </w:r>
      <w:proofErr w:type="spellStart"/>
      <w:r w:rsidRPr="00124DBA">
        <w:rPr>
          <w:b/>
          <w:bCs/>
        </w:rPr>
        <w:t>LoRA</w:t>
      </w:r>
      <w:proofErr w:type="spellEnd"/>
      <w:r w:rsidRPr="00124DBA">
        <w:rPr>
          <w:b/>
          <w:bCs/>
        </w:rPr>
        <w:t xml:space="preserve"> Fine-tuning Efficiently Undoes Safety Training in Llama 2-Chat 70B (2023)</w:t>
      </w:r>
    </w:p>
    <w:p w14:paraId="50676ABD" w14:textId="77777777" w:rsidR="00124DBA" w:rsidRPr="00124DBA" w:rsidRDefault="00124DBA" w:rsidP="00124DBA">
      <w:proofErr w:type="spellStart"/>
      <w:r w:rsidRPr="00124DBA">
        <w:t>QLoRA</w:t>
      </w:r>
      <w:proofErr w:type="spellEnd"/>
      <w:r w:rsidRPr="00124DBA">
        <w:t xml:space="preserve">-based subversive fine-tuning on Llama 2-Chat 7B/13B/70B; 70B refusal rate falls to ~1% on two benchmarks. Argues release-time safety review must include fine-tuning risk (ICLR 2024 </w:t>
      </w:r>
      <w:proofErr w:type="spellStart"/>
      <w:r w:rsidRPr="00124DBA">
        <w:t>SeT</w:t>
      </w:r>
      <w:proofErr w:type="spellEnd"/>
      <w:r w:rsidRPr="00124DBA">
        <w:t xml:space="preserve"> workshop).</w:t>
      </w:r>
    </w:p>
    <w:p w14:paraId="2A76A7C2" w14:textId="77777777" w:rsidR="00124DBA" w:rsidRPr="00124DBA" w:rsidRDefault="00124DBA" w:rsidP="00124DBA">
      <w:r w:rsidRPr="00124DBA">
        <w:rPr>
          <w:b/>
          <w:bCs/>
        </w:rPr>
        <w:t xml:space="preserve">28. Shadow Alignment: The Ease of Subverting </w:t>
      </w:r>
      <w:proofErr w:type="gramStart"/>
      <w:r w:rsidRPr="00124DBA">
        <w:rPr>
          <w:b/>
          <w:bCs/>
        </w:rPr>
        <w:t>Safely-Aligned</w:t>
      </w:r>
      <w:proofErr w:type="gramEnd"/>
      <w:r w:rsidRPr="00124DBA">
        <w:rPr>
          <w:b/>
          <w:bCs/>
        </w:rPr>
        <w:t xml:space="preserve"> Language Models (2023)</w:t>
      </w:r>
    </w:p>
    <w:p w14:paraId="250E81D0" w14:textId="77777777" w:rsidR="00124DBA" w:rsidRPr="00124DBA" w:rsidRDefault="00124DBA" w:rsidP="00124DBA">
      <w:r w:rsidRPr="00124DBA">
        <w:t xml:space="preserve">A tiny adversarial fine-tune that preserves benign helpfulness while unlocking harmful generation, transferring across </w:t>
      </w:r>
      <w:proofErr w:type="gramStart"/>
      <w:r w:rsidRPr="00124DBA">
        <w:t>single-turn</w:t>
      </w:r>
      <w:proofErr w:type="gramEnd"/>
      <w:r w:rsidRPr="00124DBA">
        <w:t xml:space="preserve"> / multi-turn / multilingual settings (</w:t>
      </w:r>
      <w:proofErr w:type="spellStart"/>
      <w:r w:rsidRPr="00124DBA">
        <w:t>NeurIPS</w:t>
      </w:r>
      <w:proofErr w:type="spellEnd"/>
      <w:r w:rsidRPr="00124DBA">
        <w:t xml:space="preserve"> 2023 </w:t>
      </w:r>
      <w:proofErr w:type="spellStart"/>
      <w:r w:rsidRPr="00124DBA">
        <w:t>SoLaR</w:t>
      </w:r>
      <w:proofErr w:type="spellEnd"/>
      <w:r w:rsidRPr="00124DBA">
        <w:t>).</w:t>
      </w:r>
    </w:p>
    <w:p w14:paraId="3896D537" w14:textId="77777777" w:rsidR="00124DBA" w:rsidRPr="00124DBA" w:rsidRDefault="00124DBA" w:rsidP="00124DBA">
      <w:r w:rsidRPr="00124DBA">
        <w:rPr>
          <w:b/>
          <w:bCs/>
        </w:rPr>
        <w:t>29. Transformers: State-of-the-Art Natural Language Processing (2020)</w:t>
      </w:r>
    </w:p>
    <w:p w14:paraId="0D7E71DB" w14:textId="77777777" w:rsidR="00124DBA" w:rsidRPr="00124DBA" w:rsidRDefault="00124DBA" w:rsidP="00124DBA">
      <w:r w:rsidRPr="00124DBA">
        <w:t>Open-source library that standardises model definitions and weight distribution across NLP research.</w:t>
      </w:r>
    </w:p>
    <w:p w14:paraId="46E28DFD" w14:textId="77777777" w:rsidR="00124DBA" w:rsidRPr="00124DBA" w:rsidRDefault="00124DBA" w:rsidP="00124DBA">
      <w:r w:rsidRPr="00124DBA">
        <w:rPr>
          <w:b/>
          <w:bCs/>
        </w:rPr>
        <w:t>30. Model Cards for Model Reporting (2019)</w:t>
      </w:r>
    </w:p>
    <w:p w14:paraId="7C6DFBEC" w14:textId="77777777" w:rsidR="00124DBA" w:rsidRPr="00124DBA" w:rsidRDefault="00124DBA" w:rsidP="00124DBA">
      <w:r w:rsidRPr="00124DBA">
        <w:t>Defines a structured documentation format for trained models including intended use, evaluation and ethical considerations.</w:t>
      </w:r>
    </w:p>
    <w:p w14:paraId="226684D9" w14:textId="77777777" w:rsidR="00124DBA" w:rsidRPr="00124DBA" w:rsidRDefault="00124DBA" w:rsidP="00124DBA"/>
    <w:p w14:paraId="520332E7" w14:textId="77777777" w:rsidR="00124DBA" w:rsidRPr="00124DBA" w:rsidRDefault="00124DBA" w:rsidP="00124DBA">
      <w:pPr>
        <w:rPr>
          <w:b/>
          <w:bCs/>
        </w:rPr>
      </w:pPr>
      <w:r w:rsidRPr="00124DBA">
        <w:rPr>
          <w:b/>
          <w:bCs/>
        </w:rPr>
        <w:t>Web &amp; Documentation Sources</w:t>
      </w:r>
    </w:p>
    <w:p w14:paraId="5FC498FD" w14:textId="77777777" w:rsidR="00124DBA" w:rsidRPr="00124DBA" w:rsidRDefault="00124DBA" w:rsidP="00124DBA">
      <w:pPr>
        <w:numPr>
          <w:ilvl w:val="0"/>
          <w:numId w:val="1"/>
        </w:numPr>
      </w:pPr>
      <w:r w:rsidRPr="00124DBA">
        <w:rPr>
          <w:b/>
          <w:bCs/>
        </w:rPr>
        <w:t xml:space="preserve">Hugging Face PEFT / </w:t>
      </w:r>
      <w:proofErr w:type="spellStart"/>
      <w:r w:rsidRPr="00124DBA">
        <w:rPr>
          <w:b/>
          <w:bCs/>
        </w:rPr>
        <w:t>LoRA</w:t>
      </w:r>
      <w:proofErr w:type="spellEnd"/>
      <w:r w:rsidRPr="00124DBA">
        <w:rPr>
          <w:b/>
          <w:bCs/>
        </w:rPr>
        <w:t xml:space="preserve"> docs — </w:t>
      </w:r>
      <w:r w:rsidRPr="00124DBA">
        <w:t xml:space="preserve">Adapter-loading terminology, </w:t>
      </w:r>
      <w:proofErr w:type="spellStart"/>
      <w:r w:rsidRPr="00124DBA">
        <w:t>LoRA</w:t>
      </w:r>
      <w:proofErr w:type="spellEnd"/>
      <w:r w:rsidRPr="00124DBA">
        <w:t xml:space="preserve"> rank/target-module language, and portability rationale.</w:t>
      </w:r>
    </w:p>
    <w:p w14:paraId="142E1048" w14:textId="77777777" w:rsidR="00124DBA" w:rsidRPr="00124DBA" w:rsidRDefault="00124DBA" w:rsidP="00124DBA">
      <w:hyperlink r:id="rId5" w:history="1">
        <w:r w:rsidRPr="00124DBA">
          <w:rPr>
            <w:rStyle w:val="Hyperlink"/>
          </w:rPr>
          <w:t>huggingface.co/docs/</w:t>
        </w:r>
        <w:proofErr w:type="spellStart"/>
        <w:r w:rsidRPr="00124DBA">
          <w:rPr>
            <w:rStyle w:val="Hyperlink"/>
          </w:rPr>
          <w:t>peft</w:t>
        </w:r>
        <w:proofErr w:type="spellEnd"/>
        <w:r w:rsidRPr="00124DBA">
          <w:rPr>
            <w:rStyle w:val="Hyperlink"/>
          </w:rPr>
          <w:t>/…/lora</w:t>
        </w:r>
      </w:hyperlink>
    </w:p>
    <w:p w14:paraId="463362FD" w14:textId="77777777" w:rsidR="00124DBA" w:rsidRPr="00124DBA" w:rsidRDefault="00124DBA" w:rsidP="00124DBA">
      <w:pPr>
        <w:numPr>
          <w:ilvl w:val="0"/>
          <w:numId w:val="1"/>
        </w:numPr>
      </w:pPr>
      <w:r w:rsidRPr="00124DBA">
        <w:rPr>
          <w:b/>
          <w:bCs/>
        </w:rPr>
        <w:t xml:space="preserve">Hugging Face </w:t>
      </w:r>
      <w:proofErr w:type="spellStart"/>
      <w:r w:rsidRPr="00124DBA">
        <w:rPr>
          <w:b/>
          <w:bCs/>
        </w:rPr>
        <w:t>safetensors</w:t>
      </w:r>
      <w:proofErr w:type="spellEnd"/>
      <w:r w:rsidRPr="00124DBA">
        <w:rPr>
          <w:b/>
          <w:bCs/>
        </w:rPr>
        <w:t xml:space="preserve"> docs — </w:t>
      </w:r>
      <w:r w:rsidRPr="00124DBA">
        <w:t xml:space="preserve">Model-file safety context and why </w:t>
      </w:r>
      <w:proofErr w:type="spellStart"/>
      <w:r w:rsidRPr="00124DBA">
        <w:t>safetensors</w:t>
      </w:r>
      <w:proofErr w:type="spellEnd"/>
      <w:r w:rsidRPr="00124DBA">
        <w:t xml:space="preserve"> is preferred over pickle-style weight loading.</w:t>
      </w:r>
    </w:p>
    <w:p w14:paraId="3C694CAB" w14:textId="77777777" w:rsidR="00124DBA" w:rsidRPr="00124DBA" w:rsidRDefault="00124DBA" w:rsidP="00124DBA">
      <w:hyperlink r:id="rId6" w:history="1">
        <w:r w:rsidRPr="00124DBA">
          <w:rPr>
            <w:rStyle w:val="Hyperlink"/>
          </w:rPr>
          <w:t>huggingface.co/docs/</w:t>
        </w:r>
        <w:proofErr w:type="spellStart"/>
        <w:r w:rsidRPr="00124DBA">
          <w:rPr>
            <w:rStyle w:val="Hyperlink"/>
          </w:rPr>
          <w:t>safetensors</w:t>
        </w:r>
        <w:proofErr w:type="spellEnd"/>
      </w:hyperlink>
    </w:p>
    <w:p w14:paraId="2EAEFDE9" w14:textId="77777777" w:rsidR="00124DBA" w:rsidRPr="00124DBA" w:rsidRDefault="00124DBA" w:rsidP="00124DBA">
      <w:pPr>
        <w:numPr>
          <w:ilvl w:val="0"/>
          <w:numId w:val="1"/>
        </w:numPr>
      </w:pPr>
      <w:r w:rsidRPr="00124DBA">
        <w:rPr>
          <w:b/>
          <w:bCs/>
        </w:rPr>
        <w:t xml:space="preserve">Hugging Face Hub pickle scanning — </w:t>
      </w:r>
      <w:r w:rsidRPr="00124DBA">
        <w:t>Supply-chain notes around pickle risk, Hub scanning, and why local auditors should prefer safe formats.</w:t>
      </w:r>
    </w:p>
    <w:p w14:paraId="0A4F998E" w14:textId="77777777" w:rsidR="00124DBA" w:rsidRPr="00124DBA" w:rsidRDefault="00124DBA" w:rsidP="00124DBA">
      <w:hyperlink r:id="rId7" w:history="1">
        <w:r w:rsidRPr="00124DBA">
          <w:rPr>
            <w:rStyle w:val="Hyperlink"/>
          </w:rPr>
          <w:t>huggingface.co/docs/hub/security-pickle</w:t>
        </w:r>
      </w:hyperlink>
    </w:p>
    <w:p w14:paraId="2AC2A21F" w14:textId="77777777" w:rsidR="00124DBA" w:rsidRPr="00124DBA" w:rsidRDefault="00124DBA" w:rsidP="00124DBA">
      <w:pPr>
        <w:numPr>
          <w:ilvl w:val="0"/>
          <w:numId w:val="1"/>
        </w:numPr>
      </w:pPr>
      <w:r w:rsidRPr="00124DBA">
        <w:rPr>
          <w:b/>
          <w:bCs/>
        </w:rPr>
        <w:lastRenderedPageBreak/>
        <w:t xml:space="preserve">OWASP Top 10 for LLM Applications — </w:t>
      </w:r>
      <w:r w:rsidRPr="00124DBA">
        <w:t>Risk-management framing around prompt injection, model behaviour, evaluation, monitoring and governance.</w:t>
      </w:r>
    </w:p>
    <w:p w14:paraId="07D24852" w14:textId="77777777" w:rsidR="00124DBA" w:rsidRPr="00124DBA" w:rsidRDefault="00124DBA" w:rsidP="00124DBA">
      <w:hyperlink r:id="rId8" w:history="1">
        <w:r w:rsidRPr="00124DBA">
          <w:rPr>
            <w:rStyle w:val="Hyperlink"/>
          </w:rPr>
          <w:t>owasp.org/www-project-top-10-for-large-language-model-applications</w:t>
        </w:r>
      </w:hyperlink>
    </w:p>
    <w:p w14:paraId="292D2916" w14:textId="77777777" w:rsidR="00124DBA" w:rsidRPr="00124DBA" w:rsidRDefault="00124DBA" w:rsidP="00124DBA">
      <w:pPr>
        <w:numPr>
          <w:ilvl w:val="0"/>
          <w:numId w:val="1"/>
        </w:numPr>
      </w:pPr>
      <w:r w:rsidRPr="00124DBA">
        <w:rPr>
          <w:b/>
          <w:bCs/>
        </w:rPr>
        <w:t xml:space="preserve">MITRE SAFE-AI / ATLAS — </w:t>
      </w:r>
      <w:r w:rsidRPr="00124DBA">
        <w:t>AI threat framing around poisoning, monitoring, prompt injection, and post-deployment detection.</w:t>
      </w:r>
    </w:p>
    <w:p w14:paraId="448E0CC8" w14:textId="77777777" w:rsidR="00124DBA" w:rsidRPr="00124DBA" w:rsidRDefault="00124DBA" w:rsidP="00124DBA">
      <w:hyperlink r:id="rId9" w:history="1">
        <w:r w:rsidRPr="00124DBA">
          <w:rPr>
            <w:rStyle w:val="Hyperlink"/>
          </w:rPr>
          <w:t>atlas.mitre.org/pdf-files/SAFEAI_Full_Report.pdf</w:t>
        </w:r>
      </w:hyperlink>
    </w:p>
    <w:p w14:paraId="188D1BB1" w14:textId="77777777" w:rsidR="00124DBA" w:rsidRPr="00124DBA" w:rsidRDefault="00124DBA" w:rsidP="00124DBA">
      <w:pPr>
        <w:numPr>
          <w:ilvl w:val="0"/>
          <w:numId w:val="1"/>
        </w:numPr>
      </w:pPr>
      <w:r w:rsidRPr="00124DBA">
        <w:rPr>
          <w:b/>
          <w:bCs/>
        </w:rPr>
        <w:t xml:space="preserve">Detoxify project — </w:t>
      </w:r>
      <w:r w:rsidRPr="00124DBA">
        <w:t>Toxicity-label context and limitations around automated toxicity classifiers.</w:t>
      </w:r>
    </w:p>
    <w:p w14:paraId="786C1044" w14:textId="77777777" w:rsidR="00124DBA" w:rsidRPr="00124DBA" w:rsidRDefault="00124DBA" w:rsidP="00124DBA">
      <w:hyperlink r:id="rId10" w:history="1">
        <w:r w:rsidRPr="00124DBA">
          <w:rPr>
            <w:rStyle w:val="Hyperlink"/>
          </w:rPr>
          <w:t>github.com/</w:t>
        </w:r>
        <w:proofErr w:type="spellStart"/>
        <w:r w:rsidRPr="00124DBA">
          <w:rPr>
            <w:rStyle w:val="Hyperlink"/>
          </w:rPr>
          <w:t>unitaryai</w:t>
        </w:r>
        <w:proofErr w:type="spellEnd"/>
        <w:r w:rsidRPr="00124DBA">
          <w:rPr>
            <w:rStyle w:val="Hyperlink"/>
          </w:rPr>
          <w:t>/detoxify</w:t>
        </w:r>
      </w:hyperlink>
    </w:p>
    <w:p w14:paraId="64B8FF08" w14:textId="77777777" w:rsidR="00124DBA" w:rsidRPr="00124DBA" w:rsidRDefault="00124DBA" w:rsidP="00124DBA"/>
    <w:p w14:paraId="281CB956" w14:textId="77777777" w:rsidR="00124DBA" w:rsidRPr="00124DBA" w:rsidRDefault="00124DBA" w:rsidP="00124DBA">
      <w:pPr>
        <w:rPr>
          <w:b/>
          <w:bCs/>
        </w:rPr>
      </w:pPr>
      <w:r w:rsidRPr="00124DBA">
        <w:rPr>
          <w:b/>
          <w:bCs/>
        </w:rPr>
        <w:t>What the Five Audits Showed</w:t>
      </w:r>
    </w:p>
    <w:p w14:paraId="70FEF381" w14:textId="77777777" w:rsidR="00124DBA" w:rsidRPr="00124DBA" w:rsidRDefault="00124DBA" w:rsidP="00124DBA">
      <w:r w:rsidRPr="00124DBA">
        <w:t>Across the five completed adapters, the mean composite risk was 0.2400. The reports include both low and medium risk cases, useful for demonstrating how the tool explains ordinary passing results alongside review-worthy findings.</w:t>
      </w:r>
    </w:p>
    <w:p w14:paraId="7FD07ED7" w14:textId="77777777" w:rsidR="00124DBA" w:rsidRPr="00124DBA" w:rsidRDefault="00124DBA" w:rsidP="00124DB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05"/>
        <w:gridCol w:w="1356"/>
        <w:gridCol w:w="1699"/>
      </w:tblGrid>
      <w:tr w:rsidR="00124DBA" w:rsidRPr="00124DBA" w14:paraId="639C0FB5" w14:textId="77777777">
        <w:tc>
          <w:tcPr>
            <w:tcW w:w="0" w:type="auto"/>
            <w:tcBorders>
              <w:top w:val="nil"/>
              <w:left w:val="nil"/>
              <w:bottom w:val="nil"/>
              <w:right w:val="nil"/>
            </w:tcBorders>
            <w:shd w:val="clear" w:color="auto" w:fill="1E2D4E"/>
            <w:tcMar>
              <w:top w:w="100" w:type="dxa"/>
              <w:left w:w="160" w:type="dxa"/>
              <w:bottom w:w="100" w:type="dxa"/>
              <w:right w:w="160" w:type="dxa"/>
            </w:tcMar>
            <w:hideMark/>
          </w:tcPr>
          <w:p w14:paraId="7C9EFC5B" w14:textId="77777777" w:rsidR="00124DBA" w:rsidRPr="00124DBA" w:rsidRDefault="00124DBA" w:rsidP="00124DBA">
            <w:r w:rsidRPr="00124DBA">
              <w:rPr>
                <w:b/>
                <w:bCs/>
              </w:rPr>
              <w:t>Adapter</w:t>
            </w:r>
          </w:p>
        </w:tc>
        <w:tc>
          <w:tcPr>
            <w:tcW w:w="0" w:type="auto"/>
            <w:tcBorders>
              <w:top w:val="nil"/>
              <w:left w:val="nil"/>
              <w:bottom w:val="nil"/>
              <w:right w:val="nil"/>
            </w:tcBorders>
            <w:shd w:val="clear" w:color="auto" w:fill="1E2D4E"/>
            <w:tcMar>
              <w:top w:w="100" w:type="dxa"/>
              <w:left w:w="160" w:type="dxa"/>
              <w:bottom w:w="100" w:type="dxa"/>
              <w:right w:w="160" w:type="dxa"/>
            </w:tcMar>
            <w:hideMark/>
          </w:tcPr>
          <w:p w14:paraId="7A4431CE" w14:textId="77777777" w:rsidR="00124DBA" w:rsidRPr="00124DBA" w:rsidRDefault="00124DBA" w:rsidP="00124DBA">
            <w:r w:rsidRPr="00124DBA">
              <w:rPr>
                <w:b/>
                <w:bCs/>
              </w:rPr>
              <w:t>Score</w:t>
            </w:r>
          </w:p>
        </w:tc>
        <w:tc>
          <w:tcPr>
            <w:tcW w:w="0" w:type="auto"/>
            <w:tcBorders>
              <w:top w:val="nil"/>
              <w:left w:val="nil"/>
              <w:bottom w:val="nil"/>
              <w:right w:val="nil"/>
            </w:tcBorders>
            <w:shd w:val="clear" w:color="auto" w:fill="1E2D4E"/>
            <w:tcMar>
              <w:top w:w="100" w:type="dxa"/>
              <w:left w:w="160" w:type="dxa"/>
              <w:bottom w:w="100" w:type="dxa"/>
              <w:right w:w="160" w:type="dxa"/>
            </w:tcMar>
            <w:hideMark/>
          </w:tcPr>
          <w:p w14:paraId="2537AAB1" w14:textId="77777777" w:rsidR="00124DBA" w:rsidRPr="00124DBA" w:rsidRDefault="00124DBA" w:rsidP="00124DBA">
            <w:r w:rsidRPr="00124DBA">
              <w:rPr>
                <w:b/>
                <w:bCs/>
              </w:rPr>
              <w:t>Risk</w:t>
            </w:r>
          </w:p>
        </w:tc>
      </w:tr>
      <w:tr w:rsidR="00124DBA" w:rsidRPr="00124DBA" w14:paraId="1C7C9530" w14:textId="77777777">
        <w:tc>
          <w:tcPr>
            <w:tcW w:w="0" w:type="auto"/>
            <w:tcBorders>
              <w:top w:val="nil"/>
              <w:left w:val="nil"/>
              <w:bottom w:val="nil"/>
              <w:right w:val="nil"/>
            </w:tcBorders>
            <w:shd w:val="clear" w:color="auto" w:fill="FFFFFF"/>
            <w:tcMar>
              <w:top w:w="80" w:type="dxa"/>
              <w:left w:w="140" w:type="dxa"/>
              <w:bottom w:w="80" w:type="dxa"/>
              <w:right w:w="140" w:type="dxa"/>
            </w:tcMar>
            <w:hideMark/>
          </w:tcPr>
          <w:p w14:paraId="75137090" w14:textId="77777777" w:rsidR="00124DBA" w:rsidRPr="00124DBA" w:rsidRDefault="00124DBA" w:rsidP="00124DBA">
            <w:proofErr w:type="spellStart"/>
            <w:r w:rsidRPr="00124DBA">
              <w:t>ybelkada</w:t>
            </w:r>
            <w:proofErr w:type="spellEnd"/>
            <w:r w:rsidRPr="00124DBA">
              <w:t>/opt-350m-lora</w:t>
            </w:r>
          </w:p>
        </w:tc>
        <w:tc>
          <w:tcPr>
            <w:tcW w:w="0" w:type="auto"/>
            <w:tcBorders>
              <w:top w:val="nil"/>
              <w:left w:val="nil"/>
              <w:bottom w:val="nil"/>
              <w:right w:val="nil"/>
            </w:tcBorders>
            <w:shd w:val="clear" w:color="auto" w:fill="FFFFFF"/>
            <w:tcMar>
              <w:top w:w="80" w:type="dxa"/>
              <w:left w:w="140" w:type="dxa"/>
              <w:bottom w:w="80" w:type="dxa"/>
              <w:right w:w="140" w:type="dxa"/>
            </w:tcMar>
            <w:hideMark/>
          </w:tcPr>
          <w:p w14:paraId="05D22E0A" w14:textId="77777777" w:rsidR="00124DBA" w:rsidRPr="00124DBA" w:rsidRDefault="00124DBA" w:rsidP="00124DBA">
            <w:r w:rsidRPr="00124DBA">
              <w:t>0.2395</w:t>
            </w:r>
          </w:p>
        </w:tc>
        <w:tc>
          <w:tcPr>
            <w:tcW w:w="0" w:type="auto"/>
            <w:tcBorders>
              <w:top w:val="nil"/>
              <w:left w:val="nil"/>
              <w:bottom w:val="nil"/>
              <w:right w:val="nil"/>
            </w:tcBorders>
            <w:shd w:val="clear" w:color="auto" w:fill="FFFFFF"/>
            <w:tcMar>
              <w:top w:w="80" w:type="dxa"/>
              <w:left w:w="140" w:type="dxa"/>
              <w:bottom w:w="80" w:type="dxa"/>
              <w:right w:w="140" w:type="dxa"/>
            </w:tcMar>
            <w:hideMark/>
          </w:tcPr>
          <w:p w14:paraId="6B3CF47F" w14:textId="77777777" w:rsidR="00124DBA" w:rsidRPr="00124DBA" w:rsidRDefault="00124DBA" w:rsidP="00124DBA">
            <w:r w:rsidRPr="00124DBA">
              <w:rPr>
                <w:b/>
                <w:bCs/>
              </w:rPr>
              <w:t>LOW</w:t>
            </w:r>
          </w:p>
        </w:tc>
      </w:tr>
      <w:tr w:rsidR="00124DBA" w:rsidRPr="00124DBA" w14:paraId="704E6DED" w14:textId="77777777">
        <w:tc>
          <w:tcPr>
            <w:tcW w:w="0" w:type="auto"/>
            <w:tcBorders>
              <w:top w:val="nil"/>
              <w:left w:val="nil"/>
              <w:bottom w:val="nil"/>
              <w:right w:val="nil"/>
            </w:tcBorders>
            <w:shd w:val="clear" w:color="auto" w:fill="EEF2F7"/>
            <w:tcMar>
              <w:top w:w="80" w:type="dxa"/>
              <w:left w:w="140" w:type="dxa"/>
              <w:bottom w:w="80" w:type="dxa"/>
              <w:right w:w="140" w:type="dxa"/>
            </w:tcMar>
            <w:hideMark/>
          </w:tcPr>
          <w:p w14:paraId="72741F63" w14:textId="77777777" w:rsidR="00124DBA" w:rsidRPr="00124DBA" w:rsidRDefault="00124DBA" w:rsidP="00124DBA">
            <w:r w:rsidRPr="00124DBA">
              <w:t>artek0chumak/bloom-560m-safe-peft</w:t>
            </w:r>
          </w:p>
        </w:tc>
        <w:tc>
          <w:tcPr>
            <w:tcW w:w="0" w:type="auto"/>
            <w:tcBorders>
              <w:top w:val="nil"/>
              <w:left w:val="nil"/>
              <w:bottom w:val="nil"/>
              <w:right w:val="nil"/>
            </w:tcBorders>
            <w:shd w:val="clear" w:color="auto" w:fill="EEF2F7"/>
            <w:tcMar>
              <w:top w:w="80" w:type="dxa"/>
              <w:left w:w="140" w:type="dxa"/>
              <w:bottom w:w="80" w:type="dxa"/>
              <w:right w:w="140" w:type="dxa"/>
            </w:tcMar>
            <w:hideMark/>
          </w:tcPr>
          <w:p w14:paraId="6BE507B5" w14:textId="77777777" w:rsidR="00124DBA" w:rsidRPr="00124DBA" w:rsidRDefault="00124DBA" w:rsidP="00124DBA">
            <w:r w:rsidRPr="00124DBA">
              <w:t>0.2693</w:t>
            </w:r>
          </w:p>
        </w:tc>
        <w:tc>
          <w:tcPr>
            <w:tcW w:w="0" w:type="auto"/>
            <w:tcBorders>
              <w:top w:val="nil"/>
              <w:left w:val="nil"/>
              <w:bottom w:val="nil"/>
              <w:right w:val="nil"/>
            </w:tcBorders>
            <w:shd w:val="clear" w:color="auto" w:fill="EEF2F7"/>
            <w:tcMar>
              <w:top w:w="80" w:type="dxa"/>
              <w:left w:w="140" w:type="dxa"/>
              <w:bottom w:w="80" w:type="dxa"/>
              <w:right w:w="140" w:type="dxa"/>
            </w:tcMar>
            <w:hideMark/>
          </w:tcPr>
          <w:p w14:paraId="4C659693" w14:textId="77777777" w:rsidR="00124DBA" w:rsidRPr="00124DBA" w:rsidRDefault="00124DBA" w:rsidP="00124DBA">
            <w:r w:rsidRPr="00124DBA">
              <w:rPr>
                <w:b/>
                <w:bCs/>
              </w:rPr>
              <w:t>MEDIUM</w:t>
            </w:r>
          </w:p>
        </w:tc>
      </w:tr>
      <w:tr w:rsidR="00124DBA" w:rsidRPr="00124DBA" w14:paraId="1F13BA6C" w14:textId="77777777">
        <w:tc>
          <w:tcPr>
            <w:tcW w:w="0" w:type="auto"/>
            <w:tcBorders>
              <w:top w:val="nil"/>
              <w:left w:val="nil"/>
              <w:bottom w:val="nil"/>
              <w:right w:val="nil"/>
            </w:tcBorders>
            <w:shd w:val="clear" w:color="auto" w:fill="FFFFFF"/>
            <w:tcMar>
              <w:top w:w="80" w:type="dxa"/>
              <w:left w:w="140" w:type="dxa"/>
              <w:bottom w:w="80" w:type="dxa"/>
              <w:right w:w="140" w:type="dxa"/>
            </w:tcMar>
            <w:hideMark/>
          </w:tcPr>
          <w:p w14:paraId="0BDC05DA" w14:textId="77777777" w:rsidR="00124DBA" w:rsidRPr="00124DBA" w:rsidRDefault="00124DBA" w:rsidP="00124DBA">
            <w:proofErr w:type="spellStart"/>
            <w:r w:rsidRPr="00124DBA">
              <w:t>Divyanshh</w:t>
            </w:r>
            <w:proofErr w:type="spellEnd"/>
            <w:r w:rsidRPr="00124DBA">
              <w:t>/Bloom-560M-PEFT-alpaca-gpt4</w:t>
            </w:r>
          </w:p>
        </w:tc>
        <w:tc>
          <w:tcPr>
            <w:tcW w:w="0" w:type="auto"/>
            <w:tcBorders>
              <w:top w:val="nil"/>
              <w:left w:val="nil"/>
              <w:bottom w:val="nil"/>
              <w:right w:val="nil"/>
            </w:tcBorders>
            <w:shd w:val="clear" w:color="auto" w:fill="FFFFFF"/>
            <w:tcMar>
              <w:top w:w="80" w:type="dxa"/>
              <w:left w:w="140" w:type="dxa"/>
              <w:bottom w:w="80" w:type="dxa"/>
              <w:right w:w="140" w:type="dxa"/>
            </w:tcMar>
            <w:hideMark/>
          </w:tcPr>
          <w:p w14:paraId="12D92D47" w14:textId="77777777" w:rsidR="00124DBA" w:rsidRPr="00124DBA" w:rsidRDefault="00124DBA" w:rsidP="00124DBA">
            <w:r w:rsidRPr="00124DBA">
              <w:t>0.1955</w:t>
            </w:r>
          </w:p>
        </w:tc>
        <w:tc>
          <w:tcPr>
            <w:tcW w:w="0" w:type="auto"/>
            <w:tcBorders>
              <w:top w:val="nil"/>
              <w:left w:val="nil"/>
              <w:bottom w:val="nil"/>
              <w:right w:val="nil"/>
            </w:tcBorders>
            <w:shd w:val="clear" w:color="auto" w:fill="FFFFFF"/>
            <w:tcMar>
              <w:top w:w="80" w:type="dxa"/>
              <w:left w:w="140" w:type="dxa"/>
              <w:bottom w:w="80" w:type="dxa"/>
              <w:right w:w="140" w:type="dxa"/>
            </w:tcMar>
            <w:hideMark/>
          </w:tcPr>
          <w:p w14:paraId="30AAAF4C" w14:textId="77777777" w:rsidR="00124DBA" w:rsidRPr="00124DBA" w:rsidRDefault="00124DBA" w:rsidP="00124DBA">
            <w:r w:rsidRPr="00124DBA">
              <w:rPr>
                <w:b/>
                <w:bCs/>
              </w:rPr>
              <w:t>LOW</w:t>
            </w:r>
          </w:p>
        </w:tc>
      </w:tr>
      <w:tr w:rsidR="00124DBA" w:rsidRPr="00124DBA" w14:paraId="6B886B3F" w14:textId="77777777">
        <w:tc>
          <w:tcPr>
            <w:tcW w:w="0" w:type="auto"/>
            <w:tcBorders>
              <w:top w:val="nil"/>
              <w:left w:val="nil"/>
              <w:bottom w:val="nil"/>
              <w:right w:val="nil"/>
            </w:tcBorders>
            <w:shd w:val="clear" w:color="auto" w:fill="EEF2F7"/>
            <w:tcMar>
              <w:top w:w="80" w:type="dxa"/>
              <w:left w:w="140" w:type="dxa"/>
              <w:bottom w:w="80" w:type="dxa"/>
              <w:right w:w="140" w:type="dxa"/>
            </w:tcMar>
            <w:hideMark/>
          </w:tcPr>
          <w:p w14:paraId="52E38378" w14:textId="77777777" w:rsidR="00124DBA" w:rsidRPr="00124DBA" w:rsidRDefault="00124DBA" w:rsidP="00124DBA">
            <w:proofErr w:type="spellStart"/>
            <w:r w:rsidRPr="00124DBA">
              <w:t>pachaar</w:t>
            </w:r>
            <w:proofErr w:type="spellEnd"/>
            <w:r w:rsidRPr="00124DBA">
              <w:t>/bloom-560m-qa</w:t>
            </w:r>
          </w:p>
        </w:tc>
        <w:tc>
          <w:tcPr>
            <w:tcW w:w="0" w:type="auto"/>
            <w:tcBorders>
              <w:top w:val="nil"/>
              <w:left w:val="nil"/>
              <w:bottom w:val="nil"/>
              <w:right w:val="nil"/>
            </w:tcBorders>
            <w:shd w:val="clear" w:color="auto" w:fill="EEF2F7"/>
            <w:tcMar>
              <w:top w:w="80" w:type="dxa"/>
              <w:left w:w="140" w:type="dxa"/>
              <w:bottom w:w="80" w:type="dxa"/>
              <w:right w:w="140" w:type="dxa"/>
            </w:tcMar>
            <w:hideMark/>
          </w:tcPr>
          <w:p w14:paraId="7D37824F" w14:textId="77777777" w:rsidR="00124DBA" w:rsidRPr="00124DBA" w:rsidRDefault="00124DBA" w:rsidP="00124DBA">
            <w:r w:rsidRPr="00124DBA">
              <w:t>0.2076</w:t>
            </w:r>
          </w:p>
        </w:tc>
        <w:tc>
          <w:tcPr>
            <w:tcW w:w="0" w:type="auto"/>
            <w:tcBorders>
              <w:top w:val="nil"/>
              <w:left w:val="nil"/>
              <w:bottom w:val="nil"/>
              <w:right w:val="nil"/>
            </w:tcBorders>
            <w:shd w:val="clear" w:color="auto" w:fill="EEF2F7"/>
            <w:tcMar>
              <w:top w:w="80" w:type="dxa"/>
              <w:left w:w="140" w:type="dxa"/>
              <w:bottom w:w="80" w:type="dxa"/>
              <w:right w:w="140" w:type="dxa"/>
            </w:tcMar>
            <w:hideMark/>
          </w:tcPr>
          <w:p w14:paraId="558F0A3B" w14:textId="77777777" w:rsidR="00124DBA" w:rsidRPr="00124DBA" w:rsidRDefault="00124DBA" w:rsidP="00124DBA">
            <w:r w:rsidRPr="00124DBA">
              <w:rPr>
                <w:b/>
                <w:bCs/>
              </w:rPr>
              <w:t>LOW</w:t>
            </w:r>
          </w:p>
        </w:tc>
      </w:tr>
      <w:tr w:rsidR="00124DBA" w:rsidRPr="00124DBA" w14:paraId="057E5E95" w14:textId="77777777">
        <w:tc>
          <w:tcPr>
            <w:tcW w:w="0" w:type="auto"/>
            <w:tcBorders>
              <w:top w:val="nil"/>
              <w:left w:val="nil"/>
              <w:bottom w:val="nil"/>
              <w:right w:val="nil"/>
            </w:tcBorders>
            <w:shd w:val="clear" w:color="auto" w:fill="FFFFFF"/>
            <w:tcMar>
              <w:top w:w="80" w:type="dxa"/>
              <w:left w:w="140" w:type="dxa"/>
              <w:bottom w:w="80" w:type="dxa"/>
              <w:right w:w="140" w:type="dxa"/>
            </w:tcMar>
            <w:hideMark/>
          </w:tcPr>
          <w:p w14:paraId="6B874CB7" w14:textId="77777777" w:rsidR="00124DBA" w:rsidRPr="00124DBA" w:rsidRDefault="00124DBA" w:rsidP="00124DBA">
            <w:r w:rsidRPr="00124DBA">
              <w:t>Sapka/bloom-560m-customer</w:t>
            </w:r>
          </w:p>
        </w:tc>
        <w:tc>
          <w:tcPr>
            <w:tcW w:w="0" w:type="auto"/>
            <w:tcBorders>
              <w:top w:val="nil"/>
              <w:left w:val="nil"/>
              <w:bottom w:val="nil"/>
              <w:right w:val="nil"/>
            </w:tcBorders>
            <w:shd w:val="clear" w:color="auto" w:fill="FFFFFF"/>
            <w:tcMar>
              <w:top w:w="80" w:type="dxa"/>
              <w:left w:w="140" w:type="dxa"/>
              <w:bottom w:w="80" w:type="dxa"/>
              <w:right w:w="140" w:type="dxa"/>
            </w:tcMar>
            <w:hideMark/>
          </w:tcPr>
          <w:p w14:paraId="4096F9FF" w14:textId="77777777" w:rsidR="00124DBA" w:rsidRPr="00124DBA" w:rsidRDefault="00124DBA" w:rsidP="00124DBA">
            <w:r w:rsidRPr="00124DBA">
              <w:t>0.2881</w:t>
            </w:r>
          </w:p>
        </w:tc>
        <w:tc>
          <w:tcPr>
            <w:tcW w:w="0" w:type="auto"/>
            <w:tcBorders>
              <w:top w:val="nil"/>
              <w:left w:val="nil"/>
              <w:bottom w:val="nil"/>
              <w:right w:val="nil"/>
            </w:tcBorders>
            <w:shd w:val="clear" w:color="auto" w:fill="FFFFFF"/>
            <w:tcMar>
              <w:top w:w="80" w:type="dxa"/>
              <w:left w:w="140" w:type="dxa"/>
              <w:bottom w:w="80" w:type="dxa"/>
              <w:right w:w="140" w:type="dxa"/>
            </w:tcMar>
            <w:hideMark/>
          </w:tcPr>
          <w:p w14:paraId="7B018CAA" w14:textId="77777777" w:rsidR="00124DBA" w:rsidRPr="00124DBA" w:rsidRDefault="00124DBA" w:rsidP="00124DBA">
            <w:r w:rsidRPr="00124DBA">
              <w:rPr>
                <w:b/>
                <w:bCs/>
              </w:rPr>
              <w:t>MEDIUM</w:t>
            </w:r>
          </w:p>
        </w:tc>
      </w:tr>
    </w:tbl>
    <w:p w14:paraId="5BFF2151" w14:textId="77777777" w:rsidR="00124DBA" w:rsidRPr="00124DBA" w:rsidRDefault="00124DBA" w:rsidP="00124DBA"/>
    <w:p w14:paraId="65ADFA30" w14:textId="77777777" w:rsidR="00124DBA" w:rsidRPr="00124DBA" w:rsidRDefault="00124DBA" w:rsidP="00124DBA">
      <w:pPr>
        <w:rPr>
          <w:b/>
          <w:bCs/>
        </w:rPr>
      </w:pPr>
      <w:r w:rsidRPr="00124DBA">
        <w:rPr>
          <w:b/>
          <w:bCs/>
        </w:rPr>
        <w:t>Method Lessons</w:t>
      </w:r>
    </w:p>
    <w:p w14:paraId="5E63F481" w14:textId="77777777" w:rsidR="00124DBA" w:rsidRPr="00124DBA" w:rsidRDefault="00124DBA" w:rsidP="00124DBA">
      <w:pPr>
        <w:numPr>
          <w:ilvl w:val="0"/>
          <w:numId w:val="1"/>
        </w:numPr>
      </w:pPr>
      <w:r w:rsidRPr="00124DBA">
        <w:t xml:space="preserve">A </w:t>
      </w:r>
      <w:proofErr w:type="spellStart"/>
      <w:r w:rsidRPr="00124DBA">
        <w:t>LoRA</w:t>
      </w:r>
      <w:proofErr w:type="spellEnd"/>
      <w:r w:rsidRPr="00124DBA">
        <w:t xml:space="preserve"> audit should keep the base model explicit. Adapter results are not meaningful without the base model that was used.</w:t>
      </w:r>
    </w:p>
    <w:p w14:paraId="3BA7D660" w14:textId="77777777" w:rsidR="00124DBA" w:rsidRPr="00124DBA" w:rsidRDefault="00124DBA" w:rsidP="00124DBA">
      <w:pPr>
        <w:numPr>
          <w:ilvl w:val="0"/>
          <w:numId w:val="1"/>
        </w:numPr>
      </w:pPr>
      <w:r w:rsidRPr="00124DBA">
        <w:lastRenderedPageBreak/>
        <w:t>Static weight scans are fast and useful for triage, but behavioural generation is necessary for scholarship-quality evidence.</w:t>
      </w:r>
    </w:p>
    <w:p w14:paraId="30D7EEBA" w14:textId="77777777" w:rsidR="00124DBA" w:rsidRPr="00124DBA" w:rsidRDefault="00124DBA" w:rsidP="00124DBA">
      <w:pPr>
        <w:numPr>
          <w:ilvl w:val="0"/>
          <w:numId w:val="1"/>
        </w:numPr>
      </w:pPr>
      <w:r w:rsidRPr="00124DBA">
        <w:t>Local GPU reproducibility matters. The report pack records prompt counts, runtime, and failed dimensions so results can be challenged or rerun.</w:t>
      </w:r>
    </w:p>
    <w:p w14:paraId="66EE24D8" w14:textId="77777777" w:rsidR="00124DBA" w:rsidRPr="00124DBA" w:rsidRDefault="00124DBA" w:rsidP="00124DBA">
      <w:pPr>
        <w:numPr>
          <w:ilvl w:val="0"/>
          <w:numId w:val="1"/>
        </w:numPr>
      </w:pPr>
      <w:r w:rsidRPr="00124DBA">
        <w:t>Automated toxicity models are helpful for screening, but their own bias limitations must be stated in every serious report.</w:t>
      </w:r>
    </w:p>
    <w:p w14:paraId="5908530D" w14:textId="77777777" w:rsidR="00124DBA" w:rsidRPr="00124DBA" w:rsidRDefault="00124DBA" w:rsidP="00124DBA">
      <w:pPr>
        <w:numPr>
          <w:ilvl w:val="0"/>
          <w:numId w:val="1"/>
        </w:numPr>
      </w:pPr>
      <w:r w:rsidRPr="00124DBA">
        <w:t>A public tool should be boring to operate: one command, one JSON file, one readable report, and clear warnings when a dimension fails.</w:t>
      </w:r>
    </w:p>
    <w:p w14:paraId="2F66F8BC" w14:textId="77777777" w:rsidR="00124DBA" w:rsidRPr="00124DBA" w:rsidRDefault="00124DBA" w:rsidP="00124DBA"/>
    <w:p w14:paraId="1C610410" w14:textId="77777777" w:rsidR="00124DBA" w:rsidRPr="00124DBA" w:rsidRDefault="00124DBA" w:rsidP="00124DBA">
      <w:pPr>
        <w:rPr>
          <w:b/>
          <w:bCs/>
        </w:rPr>
      </w:pPr>
      <w:r w:rsidRPr="00124DBA">
        <w:rPr>
          <w:b/>
          <w:bCs/>
        </w:rPr>
        <w:t>Next Research Steps</w:t>
      </w:r>
    </w:p>
    <w:p w14:paraId="50E5A364" w14:textId="77777777" w:rsidR="00124DBA" w:rsidRPr="00124DBA" w:rsidRDefault="00124DBA" w:rsidP="00124DBA">
      <w:pPr>
        <w:numPr>
          <w:ilvl w:val="0"/>
          <w:numId w:val="1"/>
        </w:numPr>
      </w:pPr>
      <w:r w:rsidRPr="00124DBA">
        <w:t>Run the same five adapters against a larger prompt suite and compare score stability.</w:t>
      </w:r>
    </w:p>
    <w:p w14:paraId="14BA1B68" w14:textId="77777777" w:rsidR="00124DBA" w:rsidRPr="00124DBA" w:rsidRDefault="00124DBA" w:rsidP="00124DBA">
      <w:pPr>
        <w:numPr>
          <w:ilvl w:val="0"/>
          <w:numId w:val="1"/>
        </w:numPr>
      </w:pPr>
      <w:r w:rsidRPr="00124DBA">
        <w:t>Add task-specific benign prompts so the audit can separate harmful compliance from normal usefulness.</w:t>
      </w:r>
    </w:p>
    <w:p w14:paraId="42BA23B9" w14:textId="77777777" w:rsidR="00124DBA" w:rsidRPr="00124DBA" w:rsidRDefault="00124DBA" w:rsidP="00124DBA">
      <w:pPr>
        <w:numPr>
          <w:ilvl w:val="0"/>
          <w:numId w:val="1"/>
        </w:numPr>
      </w:pPr>
      <w:r w:rsidRPr="00124DBA">
        <w:t>Add optional human review labels for a sample of jailbreak responses.</w:t>
      </w:r>
    </w:p>
    <w:p w14:paraId="79F939DC" w14:textId="77777777" w:rsidR="00124DBA" w:rsidRPr="00124DBA" w:rsidRDefault="00124DBA" w:rsidP="00124DBA">
      <w:pPr>
        <w:numPr>
          <w:ilvl w:val="0"/>
          <w:numId w:val="1"/>
        </w:numPr>
      </w:pPr>
      <w:r w:rsidRPr="00124DBA">
        <w:t>Expand the cohort beyond BLOOM/OPT to cover newer Qwen, Gemma, Phi, and Llama-family adapters.</w:t>
      </w:r>
    </w:p>
    <w:p w14:paraId="692D9BF7" w14:textId="77777777" w:rsidR="00124DBA" w:rsidRPr="00124DBA" w:rsidRDefault="00124DBA" w:rsidP="00124DBA">
      <w:pPr>
        <w:numPr>
          <w:ilvl w:val="0"/>
          <w:numId w:val="1"/>
        </w:numPr>
      </w:pPr>
      <w:r w:rsidRPr="00124DBA">
        <w:t>Publish all JSON outputs beside the PDFs so reviewers can inspect raw evidence rather than trusting the summary.</w:t>
      </w:r>
    </w:p>
    <w:p w14:paraId="76C94ACB" w14:textId="77777777" w:rsidR="00BD3916" w:rsidRDefault="00BD3916"/>
    <w:sectPr w:rsidR="00BD3916" w:rsidSect="00A15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156494"/>
    <w:multiLevelType w:val="hybridMultilevel"/>
    <w:tmpl w:val="94E22A12"/>
    <w:lvl w:ilvl="0" w:tplc="3F6C7D4C">
      <w:start w:val="1"/>
      <w:numFmt w:val="bullet"/>
      <w:lvlText w:val="–"/>
      <w:lvlJc w:val="left"/>
      <w:pPr>
        <w:ind w:left="540" w:hanging="260"/>
      </w:pPr>
    </w:lvl>
    <w:lvl w:ilvl="1" w:tplc="5AD89B90">
      <w:numFmt w:val="decimal"/>
      <w:lvlText w:val=""/>
      <w:lvlJc w:val="left"/>
      <w:pPr>
        <w:ind w:left="0" w:firstLine="0"/>
      </w:pPr>
    </w:lvl>
    <w:lvl w:ilvl="2" w:tplc="82B8474A">
      <w:numFmt w:val="decimal"/>
      <w:lvlText w:val=""/>
      <w:lvlJc w:val="left"/>
      <w:pPr>
        <w:ind w:left="0" w:firstLine="0"/>
      </w:pPr>
    </w:lvl>
    <w:lvl w:ilvl="3" w:tplc="5240D458">
      <w:numFmt w:val="decimal"/>
      <w:lvlText w:val=""/>
      <w:lvlJc w:val="left"/>
      <w:pPr>
        <w:ind w:left="0" w:firstLine="0"/>
      </w:pPr>
    </w:lvl>
    <w:lvl w:ilvl="4" w:tplc="AE8CD842">
      <w:numFmt w:val="decimal"/>
      <w:lvlText w:val=""/>
      <w:lvlJc w:val="left"/>
      <w:pPr>
        <w:ind w:left="0" w:firstLine="0"/>
      </w:pPr>
    </w:lvl>
    <w:lvl w:ilvl="5" w:tplc="0C1269CE">
      <w:numFmt w:val="decimal"/>
      <w:lvlText w:val=""/>
      <w:lvlJc w:val="left"/>
      <w:pPr>
        <w:ind w:left="0" w:firstLine="0"/>
      </w:pPr>
    </w:lvl>
    <w:lvl w:ilvl="6" w:tplc="858A76A0">
      <w:numFmt w:val="decimal"/>
      <w:lvlText w:val=""/>
      <w:lvlJc w:val="left"/>
      <w:pPr>
        <w:ind w:left="0" w:firstLine="0"/>
      </w:pPr>
    </w:lvl>
    <w:lvl w:ilvl="7" w:tplc="4C6078CA">
      <w:numFmt w:val="decimal"/>
      <w:lvlText w:val=""/>
      <w:lvlJc w:val="left"/>
      <w:pPr>
        <w:ind w:left="0" w:firstLine="0"/>
      </w:pPr>
    </w:lvl>
    <w:lvl w:ilvl="8" w:tplc="46DA8E0A">
      <w:numFmt w:val="decimal"/>
      <w:lvlText w:val=""/>
      <w:lvlJc w:val="left"/>
      <w:pPr>
        <w:ind w:left="0" w:firstLine="0"/>
      </w:pPr>
    </w:lvl>
  </w:abstractNum>
  <w:num w:numId="1" w16cid:durableId="108633829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DBA"/>
    <w:rsid w:val="00000FD8"/>
    <w:rsid w:val="00124DBA"/>
    <w:rsid w:val="007714D6"/>
    <w:rsid w:val="00A15616"/>
    <w:rsid w:val="00BD3916"/>
    <w:rsid w:val="00EC02BA"/>
    <w:rsid w:val="00FF45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37826"/>
  <w15:chartTrackingRefBased/>
  <w15:docId w15:val="{6ECB2A6F-2574-4244-886B-D77B95E89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D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4D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4D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4D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4D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4D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D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D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D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D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4D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4D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4D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4D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4D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D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D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DBA"/>
    <w:rPr>
      <w:rFonts w:eastAsiaTheme="majorEastAsia" w:cstheme="majorBidi"/>
      <w:color w:val="272727" w:themeColor="text1" w:themeTint="D8"/>
    </w:rPr>
  </w:style>
  <w:style w:type="paragraph" w:styleId="Title">
    <w:name w:val="Title"/>
    <w:basedOn w:val="Normal"/>
    <w:next w:val="Normal"/>
    <w:link w:val="TitleChar"/>
    <w:uiPriority w:val="10"/>
    <w:qFormat/>
    <w:rsid w:val="00124D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D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D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D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DBA"/>
    <w:pPr>
      <w:spacing w:before="160"/>
      <w:jc w:val="center"/>
    </w:pPr>
    <w:rPr>
      <w:i/>
      <w:iCs/>
      <w:color w:val="404040" w:themeColor="text1" w:themeTint="BF"/>
    </w:rPr>
  </w:style>
  <w:style w:type="character" w:customStyle="1" w:styleId="QuoteChar">
    <w:name w:val="Quote Char"/>
    <w:basedOn w:val="DefaultParagraphFont"/>
    <w:link w:val="Quote"/>
    <w:uiPriority w:val="29"/>
    <w:rsid w:val="00124DBA"/>
    <w:rPr>
      <w:i/>
      <w:iCs/>
      <w:color w:val="404040" w:themeColor="text1" w:themeTint="BF"/>
    </w:rPr>
  </w:style>
  <w:style w:type="paragraph" w:styleId="ListParagraph">
    <w:name w:val="List Paragraph"/>
    <w:basedOn w:val="Normal"/>
    <w:uiPriority w:val="34"/>
    <w:qFormat/>
    <w:rsid w:val="00124DBA"/>
    <w:pPr>
      <w:ind w:left="720"/>
      <w:contextualSpacing/>
    </w:pPr>
  </w:style>
  <w:style w:type="character" w:styleId="IntenseEmphasis">
    <w:name w:val="Intense Emphasis"/>
    <w:basedOn w:val="DefaultParagraphFont"/>
    <w:uiPriority w:val="21"/>
    <w:qFormat/>
    <w:rsid w:val="00124DBA"/>
    <w:rPr>
      <w:i/>
      <w:iCs/>
      <w:color w:val="2F5496" w:themeColor="accent1" w:themeShade="BF"/>
    </w:rPr>
  </w:style>
  <w:style w:type="paragraph" w:styleId="IntenseQuote">
    <w:name w:val="Intense Quote"/>
    <w:basedOn w:val="Normal"/>
    <w:next w:val="Normal"/>
    <w:link w:val="IntenseQuoteChar"/>
    <w:uiPriority w:val="30"/>
    <w:qFormat/>
    <w:rsid w:val="00124D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4DBA"/>
    <w:rPr>
      <w:i/>
      <w:iCs/>
      <w:color w:val="2F5496" w:themeColor="accent1" w:themeShade="BF"/>
    </w:rPr>
  </w:style>
  <w:style w:type="character" w:styleId="IntenseReference">
    <w:name w:val="Intense Reference"/>
    <w:basedOn w:val="DefaultParagraphFont"/>
    <w:uiPriority w:val="32"/>
    <w:qFormat/>
    <w:rsid w:val="00124DBA"/>
    <w:rPr>
      <w:b/>
      <w:bCs/>
      <w:smallCaps/>
      <w:color w:val="2F5496" w:themeColor="accent1" w:themeShade="BF"/>
      <w:spacing w:val="5"/>
    </w:rPr>
  </w:style>
  <w:style w:type="character" w:styleId="Hyperlink">
    <w:name w:val="Hyperlink"/>
    <w:basedOn w:val="DefaultParagraphFont"/>
    <w:uiPriority w:val="99"/>
    <w:unhideWhenUsed/>
    <w:rsid w:val="00124DBA"/>
    <w:rPr>
      <w:color w:val="0563C1" w:themeColor="hyperlink"/>
      <w:u w:val="single"/>
    </w:rPr>
  </w:style>
  <w:style w:type="character" w:styleId="UnresolvedMention">
    <w:name w:val="Unresolved Mention"/>
    <w:basedOn w:val="DefaultParagraphFont"/>
    <w:uiPriority w:val="99"/>
    <w:semiHidden/>
    <w:unhideWhenUsed/>
    <w:rsid w:val="00124D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wasp.org/www-project-top-10-for-large-language-model-applications/" TargetMode="External"/><Relationship Id="rId3" Type="http://schemas.openxmlformats.org/officeDocument/2006/relationships/settings" Target="settings.xml"/><Relationship Id="rId7" Type="http://schemas.openxmlformats.org/officeDocument/2006/relationships/hyperlink" Target="https://huggingface.co/docs/hub/security-pickl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uggingface.co/docs/safetensors/index" TargetMode="External"/><Relationship Id="rId11" Type="http://schemas.openxmlformats.org/officeDocument/2006/relationships/fontTable" Target="fontTable.xml"/><Relationship Id="rId5" Type="http://schemas.openxmlformats.org/officeDocument/2006/relationships/hyperlink" Target="https://huggingface.co/docs/peft/main/conceptual_guides/lora" TargetMode="External"/><Relationship Id="rId10" Type="http://schemas.openxmlformats.org/officeDocument/2006/relationships/hyperlink" Target="https://github.com/unitaryai/detoxify" TargetMode="External"/><Relationship Id="rId4" Type="http://schemas.openxmlformats.org/officeDocument/2006/relationships/webSettings" Target="webSettings.xml"/><Relationship Id="rId9" Type="http://schemas.openxmlformats.org/officeDocument/2006/relationships/hyperlink" Target="https://atlas.mitre.org/pdf-files/SAFEAI_Full_Repor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1462</Words>
  <Characters>8338</Characters>
  <Application>Microsoft Office Word</Application>
  <DocSecurity>0</DocSecurity>
  <Lines>69</Lines>
  <Paragraphs>19</Paragraphs>
  <ScaleCrop>false</ScaleCrop>
  <Company/>
  <LinksUpToDate>false</LinksUpToDate>
  <CharactersWithSpaces>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Jidanul Hakim Jitu</dc:creator>
  <cp:keywords/>
  <dc:description/>
  <cp:lastModifiedBy>Md. Jidanul Hakim Jitu</cp:lastModifiedBy>
  <cp:revision>1</cp:revision>
  <dcterms:created xsi:type="dcterms:W3CDTF">2026-05-25T18:34:00Z</dcterms:created>
  <dcterms:modified xsi:type="dcterms:W3CDTF">2026-05-25T18:36:00Z</dcterms:modified>
</cp:coreProperties>
</file>