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“合规路径诊断”测试案例及预期输出</w:t>
      </w:r>
    </w:p>
    <w:p>
      <w:pPr>
        <w:pStyle w:val="3"/>
        <w:spacing w:before="300" w:after="120" w:line="288" w:lineRule="auto"/>
        <w:ind w:left="0"/>
        <w:jc w:val="left"/>
        <w:outlineLvl w:val="2"/>
      </w:pPr>
      <w:bookmarkStart w:name="heading_0" w:id="0"/>
      <w:r>
        <w:rPr>
          <w:rFonts w:eastAsia="等线" w:ascii="Arial" w:cs="Arial" w:hAnsi="Arial"/>
          <w:b w:val="true"/>
          <w:sz w:val="30"/>
        </w:rPr>
        <w:t xml:space="preserve">测试案例一：电商用户数据出境（标准合同/认证路径） </w:t>
      </w:r>
      <w:bookmarkEnd w:id="0"/>
    </w:p>
    <w:p>
      <w:pPr>
        <w:spacing w:before="120" w:after="120" w:line="288" w:lineRule="auto"/>
        <w:ind w:left="0"/>
        <w:jc w:val="left"/>
      </w:pPr>
      <w:r>
        <w:rPr>
          <w:rFonts w:eastAsia="等线" w:ascii="Arial" w:cs="Arial" w:hAnsi="Arial"/>
          <w:b w:val="true"/>
          <w:sz w:val="22"/>
        </w:rPr>
        <w:t>背景</w:t>
      </w:r>
      <w:r>
        <w:rPr>
          <w:rFonts w:eastAsia="等线" w:ascii="Arial" w:cs="Arial" w:hAnsi="Arial"/>
          <w:sz w:val="22"/>
        </w:rPr>
        <w:t>：中国境内一家名为“跨境优品”的中型跨境电商平台，计划将过去半年的订单数据同步至其位于新加坡的亚太数据中心，用于优化区域物流算法和精准营销。</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步骤一：识别“重要数据”出境义务</w:t>
      </w:r>
    </w:p>
    <w:p>
      <w:pPr>
        <w:numPr>
          <w:numId w:val="2"/>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否</w:t>
      </w:r>
      <w:r>
        <w:rPr>
          <w:rFonts w:eastAsia="等线" w:ascii="Arial" w:cs="Arial" w:hAnsi="Arial"/>
          <w:sz w:val="22"/>
        </w:rPr>
        <w:t>。公司确认，本次传输的数据为消费者订单信息，不涉及《工业数据分类分级指南》等行业目录中定义的、或公司自认的“重要数据”。</w:t>
      </w:r>
    </w:p>
    <w:p>
      <w:pPr>
        <w:numPr>
          <w:numId w:val="3"/>
        </w:numPr>
        <w:spacing w:before="120" w:after="120" w:line="288" w:lineRule="auto"/>
        <w:ind w:left="0"/>
        <w:jc w:val="left"/>
      </w:pPr>
      <w:r>
        <w:rPr>
          <w:rFonts w:eastAsia="等线" w:ascii="Arial" w:cs="Arial" w:hAnsi="Arial"/>
          <w:b w:val="true"/>
          <w:sz w:val="22"/>
        </w:rPr>
        <w:t>步骤二：识别“个人信息”与基础豁免</w:t>
      </w:r>
    </w:p>
    <w:p>
      <w:pPr>
        <w:numPr>
          <w:numId w:val="4"/>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是</w:t>
      </w:r>
      <w:r>
        <w:rPr>
          <w:rFonts w:eastAsia="等线" w:ascii="Arial" w:cs="Arial" w:hAnsi="Arial"/>
          <w:sz w:val="22"/>
        </w:rPr>
        <w:t>。传输的数据包含：用户姓名、收货地址、联系电话、商品订单号、购买时间、商品金额、支付方式（已去标识化处理为支付渠道编号，不含银行卡号）。</w:t>
      </w:r>
    </w:p>
    <w:p>
      <w:pPr>
        <w:numPr>
          <w:numId w:val="5"/>
        </w:numPr>
        <w:spacing w:before="120" w:after="120" w:line="288" w:lineRule="auto"/>
        <w:ind w:left="0"/>
        <w:jc w:val="left"/>
      </w:pPr>
      <w:r>
        <w:rPr>
          <w:rFonts w:eastAsia="等线" w:ascii="Arial" w:cs="Arial" w:hAnsi="Arial"/>
          <w:b w:val="true"/>
          <w:sz w:val="22"/>
        </w:rPr>
        <w:t>步骤三：核查法定豁免情形</w:t>
      </w:r>
    </w:p>
    <w:p>
      <w:pPr>
        <w:numPr>
          <w:numId w:val="6"/>
        </w:numPr>
        <w:spacing w:before="120" w:after="120" w:line="288" w:lineRule="auto"/>
        <w:ind w:left="453"/>
        <w:jc w:val="left"/>
      </w:pPr>
      <w:r>
        <w:rPr>
          <w:rFonts w:eastAsia="等线" w:ascii="Arial" w:cs="Arial" w:hAnsi="Arial"/>
          <w:sz w:val="22"/>
        </w:rPr>
        <w:t>用户选择：</w:t>
      </w:r>
      <w:r>
        <w:rPr>
          <w:rFonts w:eastAsia="等线" w:ascii="Arial" w:cs="Arial" w:hAnsi="Arial"/>
          <w:b w:val="true"/>
          <w:sz w:val="22"/>
        </w:rPr>
        <w:t>均不属于</w:t>
      </w:r>
      <w:r>
        <w:rPr>
          <w:rFonts w:eastAsia="等线" w:ascii="Arial" w:cs="Arial" w:hAnsi="Arial"/>
          <w:sz w:val="22"/>
        </w:rPr>
        <w:t>。公司确认，本次传输非履行与单个消费者的具体合同所必需（合同已履行完毕），也非人力资源管理或紧急情况。公司注册地不在自贸试验区内。</w:t>
      </w:r>
    </w:p>
    <w:p>
      <w:pPr>
        <w:numPr>
          <w:numId w:val="7"/>
        </w:numPr>
        <w:spacing w:before="120" w:after="120" w:line="288" w:lineRule="auto"/>
        <w:ind w:left="0"/>
        <w:jc w:val="left"/>
      </w:pPr>
      <w:r>
        <w:rPr>
          <w:rFonts w:eastAsia="等线" w:ascii="Arial" w:cs="Arial" w:hAnsi="Arial"/>
          <w:b w:val="true"/>
          <w:sz w:val="22"/>
        </w:rPr>
        <w:t>步骤四：确认数据处理者身份（是否CIIO）</w:t>
      </w:r>
    </w:p>
    <w:p>
      <w:pPr>
        <w:numPr>
          <w:numId w:val="8"/>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否</w:t>
      </w:r>
      <w:r>
        <w:rPr>
          <w:rFonts w:eastAsia="等线" w:ascii="Arial" w:cs="Arial" w:hAnsi="Arial"/>
          <w:sz w:val="22"/>
        </w:rPr>
        <w:t>。“跨境优品”为普通电商平台，未被认定为关键信息基础设施运营者。</w:t>
      </w:r>
    </w:p>
    <w:p>
      <w:pPr>
        <w:numPr>
          <w:numId w:val="9"/>
        </w:numPr>
        <w:spacing w:before="120" w:after="120" w:line="288" w:lineRule="auto"/>
        <w:ind w:left="0"/>
        <w:jc w:val="left"/>
      </w:pPr>
      <w:r>
        <w:rPr>
          <w:rFonts w:eastAsia="等线" w:ascii="Arial" w:cs="Arial" w:hAnsi="Arial"/>
          <w:b w:val="true"/>
          <w:sz w:val="22"/>
        </w:rPr>
        <w:t>步骤五：区分与量化个人信息类型</w:t>
      </w:r>
    </w:p>
    <w:p>
      <w:pPr>
        <w:numPr>
          <w:numId w:val="10"/>
        </w:numPr>
        <w:spacing w:before="120" w:after="120" w:line="288" w:lineRule="auto"/>
        <w:ind w:left="453"/>
        <w:jc w:val="left"/>
      </w:pPr>
      <w:r>
        <w:rPr>
          <w:rFonts w:eastAsia="等线" w:ascii="Arial" w:cs="Arial" w:hAnsi="Arial"/>
          <w:sz w:val="22"/>
        </w:rPr>
        <w:t>用户选择：</w:t>
      </w:r>
      <w:r>
        <w:rPr>
          <w:rFonts w:eastAsia="等线" w:ascii="Arial" w:cs="Arial" w:hAnsi="Arial"/>
          <w:b w:val="true"/>
          <w:sz w:val="22"/>
        </w:rPr>
        <w:t>A. 仅涉及一般个人信息</w:t>
      </w:r>
      <w:r>
        <w:rPr>
          <w:rFonts w:eastAsia="等线" w:ascii="Arial" w:cs="Arial" w:hAnsi="Arial"/>
          <w:sz w:val="22"/>
        </w:rPr>
        <w:t>。确认不包含生物识别、健康、行踪轨迹等敏感信息。</w:t>
      </w:r>
    </w:p>
    <w:p>
      <w:pPr>
        <w:numPr>
          <w:numId w:val="11"/>
        </w:numPr>
        <w:spacing w:before="120" w:after="120" w:line="288" w:lineRule="auto"/>
        <w:ind w:left="453"/>
        <w:jc w:val="left"/>
      </w:pPr>
      <w:r>
        <w:rPr>
          <w:rFonts w:eastAsia="等线" w:ascii="Arial" w:cs="Arial" w:hAnsi="Arial"/>
          <w:b w:val="true"/>
          <w:sz w:val="22"/>
        </w:rPr>
        <w:t>步骤五（A）子路径：量化一般个人信息</w:t>
      </w:r>
    </w:p>
    <w:p>
      <w:pPr>
        <w:numPr>
          <w:numId w:val="12"/>
        </w:numPr>
        <w:spacing w:before="120" w:after="120" w:line="288" w:lineRule="auto"/>
        <w:ind w:left="907"/>
        <w:jc w:val="left"/>
      </w:pPr>
      <w:r>
        <w:rPr>
          <w:rFonts w:eastAsia="等线" w:ascii="Arial" w:cs="Arial" w:hAnsi="Arial"/>
          <w:sz w:val="22"/>
        </w:rPr>
        <w:t>用户回答：</w:t>
      </w:r>
      <w:r>
        <w:rPr>
          <w:rFonts w:eastAsia="等线" w:ascii="Arial" w:cs="Arial" w:hAnsi="Arial"/>
          <w:b w:val="true"/>
          <w:sz w:val="22"/>
        </w:rPr>
        <w:t>10万人以上，但未达到100万人</w:t>
      </w:r>
      <w:r>
        <w:rPr>
          <w:rFonts w:eastAsia="等线" w:ascii="Arial" w:cs="Arial" w:hAnsi="Arial"/>
          <w:sz w:val="22"/>
        </w:rPr>
        <w:t>。经统计，自今年1月1日起，涉及出境的去重用户数量约为45万人。</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：应当通过订立个人信息出境标准合同或者通过个人信息保护认证的途径。</w:t>
      </w:r>
    </w:p>
    <w:p>
      <w:pPr>
        <w:numPr>
          <w:numId w:val="14"/>
        </w:numPr>
        <w:spacing w:before="120" w:after="120" w:line="288" w:lineRule="auto"/>
        <w:ind w:left="0"/>
        <w:jc w:val="left"/>
      </w:pPr>
      <w:r>
        <w:rPr>
          <w:rFonts w:eastAsia="等线" w:ascii="Arial" w:cs="Arial" w:hAnsi="Arial"/>
          <w:b w:val="true"/>
          <w:sz w:val="22"/>
        </w:rPr>
        <w:t>结构化诊断报告</w:t>
      </w:r>
      <w:r>
        <w:rPr>
          <w:rFonts w:eastAsia="等线" w:ascii="Arial" w:cs="Arial" w:hAnsi="Arial"/>
          <w:sz w:val="22"/>
        </w:rPr>
        <w:t>（主要内容）：</w:t>
      </w:r>
    </w:p>
    <w:p>
      <w:pPr>
        <w:numPr>
          <w:numId w:val="15"/>
        </w:numPr>
        <w:spacing w:before="120" w:after="120" w:line="288" w:lineRule="auto"/>
        <w:ind w:left="453"/>
        <w:jc w:val="left"/>
      </w:pPr>
      <w:r>
        <w:rPr>
          <w:rFonts w:eastAsia="等线" w:ascii="Arial" w:cs="Arial" w:hAnsi="Arial"/>
          <w:b w:val="true"/>
          <w:sz w:val="22"/>
        </w:rPr>
        <w:t>用户答案摘要</w:t>
      </w:r>
      <w:r>
        <w:rPr>
          <w:rFonts w:eastAsia="等线" w:ascii="Arial" w:cs="Arial" w:hAnsi="Arial"/>
          <w:sz w:val="22"/>
        </w:rPr>
        <w:t>：表格列明上述所有问题和答案。</w:t>
      </w:r>
    </w:p>
    <w:p>
      <w:pPr>
        <w:numPr>
          <w:numId w:val="16"/>
        </w:numPr>
        <w:spacing w:before="120" w:after="120" w:line="288" w:lineRule="auto"/>
        <w:ind w:left="453"/>
        <w:jc w:val="left"/>
      </w:pPr>
      <w:r>
        <w:rPr>
          <w:rFonts w:eastAsia="等线" w:ascii="Arial" w:cs="Arial" w:hAnsi="Arial"/>
          <w:b w:val="true"/>
          <w:sz w:val="22"/>
        </w:rPr>
        <w:t>判定逻辑树</w:t>
      </w:r>
      <w:r>
        <w:rPr>
          <w:rFonts w:eastAsia="等线" w:ascii="Arial" w:cs="Arial" w:hAnsi="Arial"/>
          <w:sz w:val="22"/>
        </w:rPr>
        <w:t>：展示从“不涉及重要数据” -&gt; “涉及个人信息” -&gt; “不适用豁免” -&gt; “非CIIO” -&gt; “一般个人信息45万人” -&gt; 触发《规定》第八条（10万-100万一般个人信息）的逻辑链条。</w:t>
      </w:r>
    </w:p>
    <w:p>
      <w:pPr>
        <w:numPr>
          <w:numId w:val="17"/>
        </w:numPr>
        <w:spacing w:before="120" w:after="120" w:line="288" w:lineRule="auto"/>
        <w:ind w:left="453"/>
        <w:jc w:val="left"/>
      </w:pPr>
      <w:r>
        <w:rPr>
          <w:rFonts w:eastAsia="等线" w:ascii="Arial" w:cs="Arial" w:hAnsi="Arial"/>
          <w:b w:val="true"/>
          <w:sz w:val="22"/>
        </w:rPr>
        <w:t>逐条法规依据</w:t>
      </w:r>
      <w:r>
        <w:rPr>
          <w:rFonts w:eastAsia="等线" w:ascii="Arial" w:cs="Arial" w:hAnsi="Arial"/>
          <w:sz w:val="22"/>
        </w:rPr>
        <w:t>：重点引用并解释《促进和规范数据跨境流动规定》第八条。</w:t>
      </w:r>
    </w:p>
    <w:p>
      <w:pPr>
        <w:numPr>
          <w:numId w:val="18"/>
        </w:numPr>
        <w:spacing w:before="120" w:after="120" w:line="288" w:lineRule="auto"/>
        <w:ind w:left="453"/>
        <w:jc w:val="left"/>
      </w:pPr>
      <w:r>
        <w:rPr>
          <w:rFonts w:eastAsia="等线" w:ascii="Arial" w:cs="Arial" w:hAnsi="Arial"/>
          <w:b w:val="true"/>
          <w:sz w:val="22"/>
        </w:rPr>
        <w:t>核心风险提示</w:t>
      </w:r>
      <w:r>
        <w:rPr>
          <w:rFonts w:eastAsia="等线" w:ascii="Arial" w:cs="Arial" w:hAnsi="Arial"/>
          <w:sz w:val="22"/>
        </w:rPr>
        <w:t>：提示需确保已履行对45万用户的告知与单独同意义务；标准合同需依法备案。</w:t>
      </w:r>
    </w:p>
    <w:p>
      <w:pPr>
        <w:numPr>
          <w:numId w:val="19"/>
        </w:numPr>
        <w:spacing w:before="120" w:after="120" w:line="288" w:lineRule="auto"/>
        <w:ind w:left="453"/>
        <w:jc w:val="left"/>
      </w:pPr>
      <w:r>
        <w:rPr>
          <w:rFonts w:eastAsia="等线" w:ascii="Arial" w:cs="Arial" w:hAnsi="Arial"/>
          <w:b w:val="true"/>
          <w:sz w:val="22"/>
        </w:rPr>
        <w:t>后续行动建议</w:t>
      </w:r>
      <w:r>
        <w:rPr>
          <w:rFonts w:eastAsia="等线" w:ascii="Arial" w:cs="Arial" w:hAnsi="Arial"/>
          <w:sz w:val="22"/>
        </w:rPr>
        <w:t>：建议启动个人信息保护影响评估，并着手准备《个人信息出境标准合同》的订立与备案材料。</w:t>
      </w:r>
    </w:p>
    <w:p>
      <w:pPr>
        <w:pStyle w:val="3"/>
        <w:spacing w:before="300" w:after="120" w:line="288" w:lineRule="auto"/>
        <w:ind w:left="0"/>
        <w:jc w:val="left"/>
        <w:outlineLvl w:val="2"/>
      </w:pPr>
      <w:bookmarkStart w:name="heading_1" w:id="1"/>
      <w:r>
        <w:rPr>
          <w:rFonts w:eastAsia="等线" w:ascii="Arial" w:cs="Arial" w:hAnsi="Arial"/>
          <w:b w:val="true"/>
          <w:sz w:val="30"/>
        </w:rPr>
        <w:t xml:space="preserve">测试案例二：医疗研究数据出境（安全评估路径） </w:t>
      </w:r>
      <w:bookmarkEnd w:id="1"/>
    </w:p>
    <w:p>
      <w:pPr>
        <w:spacing w:before="120" w:after="120" w:line="288" w:lineRule="auto"/>
        <w:ind w:left="0"/>
        <w:jc w:val="left"/>
      </w:pPr>
      <w:r>
        <w:rPr>
          <w:rFonts w:eastAsia="等线" w:ascii="Arial" w:cs="Arial" w:hAnsi="Arial"/>
          <w:b w:val="true"/>
          <w:sz w:val="22"/>
        </w:rPr>
        <w:t>背景</w:t>
      </w:r>
      <w:r>
        <w:rPr>
          <w:rFonts w:eastAsia="等线" w:ascii="Arial" w:cs="Arial" w:hAnsi="Arial"/>
          <w:sz w:val="22"/>
        </w:rPr>
        <w:t>：中国“前沿生命科技研究院”与欧盟某大学合作进行一项罕见病研究，需将1.5万名中国患者的脱敏医疗记录（含诊断结果、用药史、基因测序数据摘要）传输至欧盟的合作方服务器进行分析。</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b w:val="true"/>
          <w:sz w:val="22"/>
        </w:rPr>
        <w:t>步骤一：识别“重要数据”出境义务</w:t>
      </w:r>
    </w:p>
    <w:p>
      <w:pPr>
        <w:numPr>
          <w:numId w:val="21"/>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不知道</w:t>
      </w:r>
      <w:r>
        <w:rPr>
          <w:rFonts w:eastAsia="等线" w:ascii="Arial" w:cs="Arial" w:hAnsi="Arial"/>
          <w:sz w:val="22"/>
        </w:rPr>
        <w:t>。系统启动辅助判断子流程。</w:t>
      </w:r>
    </w:p>
    <w:p>
      <w:pPr>
        <w:numPr>
          <w:numId w:val="22"/>
        </w:numPr>
        <w:spacing w:before="120" w:after="120" w:line="288" w:lineRule="auto"/>
        <w:ind w:left="907"/>
        <w:jc w:val="left"/>
      </w:pPr>
      <w:r>
        <w:rPr>
          <w:rFonts w:eastAsia="等线" w:ascii="Arial" w:cs="Arial" w:hAnsi="Arial"/>
          <w:b w:val="true"/>
          <w:sz w:val="22"/>
        </w:rPr>
        <w:t>询问行业领域</w:t>
      </w:r>
      <w:r>
        <w:rPr>
          <w:rFonts w:eastAsia="等线" w:ascii="Arial" w:cs="Arial" w:hAnsi="Arial"/>
          <w:sz w:val="22"/>
        </w:rPr>
        <w:t>：用户选择“卫生健康”。</w:t>
      </w:r>
    </w:p>
    <w:p>
      <w:pPr>
        <w:numPr>
          <w:numId w:val="23"/>
        </w:numPr>
        <w:spacing w:before="120" w:after="120" w:line="288" w:lineRule="auto"/>
        <w:ind w:left="907"/>
        <w:jc w:val="left"/>
      </w:pPr>
      <w:r>
        <w:rPr>
          <w:rFonts w:eastAsia="等线" w:ascii="Arial" w:cs="Arial" w:hAnsi="Arial"/>
          <w:b w:val="true"/>
          <w:sz w:val="22"/>
        </w:rPr>
        <w:t>询问数据性质</w:t>
      </w:r>
      <w:r>
        <w:rPr>
          <w:rFonts w:eastAsia="等线" w:ascii="Arial" w:cs="Arial" w:hAnsi="Arial"/>
          <w:sz w:val="22"/>
        </w:rPr>
        <w:t>：用户描述“涉及1.5万名罕见病患者的脱敏医疗记录和基因测序数据摘要，用于国际联合医学研究”。</w:t>
      </w:r>
    </w:p>
    <w:p>
      <w:pPr>
        <w:numPr>
          <w:numId w:val="24"/>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系统匹配《卫生健康行业数据分类分级指南》，发现“涉及1万人的特定药品实验数据或族群生物特征数据”可被视为重要数据。系统提示：“根据您提供的信息，该数据可能涉及重要数据（符合‘涉及1万人的族群生物特征数据’特征）。基于审慎原则，系统建议按涉及重要数据处理。”并引导用户选择“是”。</w:t>
      </w:r>
    </w:p>
    <w:p>
      <w:pPr>
        <w:numPr>
          <w:numId w:val="25"/>
        </w:numPr>
        <w:spacing w:before="120" w:after="120" w:line="288" w:lineRule="auto"/>
        <w:ind w:left="0"/>
        <w:jc w:val="left"/>
      </w:pPr>
      <w:r>
        <w:rPr>
          <w:rFonts w:eastAsia="等线" w:ascii="Arial" w:cs="Arial" w:hAnsi="Arial"/>
          <w:b w:val="true"/>
          <w:sz w:val="22"/>
        </w:rPr>
        <w:t>步骤二</w:t>
      </w:r>
      <w:r>
        <w:rPr>
          <w:rFonts w:eastAsia="等线" w:ascii="Arial" w:cs="Arial" w:hAnsi="Arial"/>
          <w:sz w:val="22"/>
        </w:rPr>
        <w:t>：因步骤一选择“是”，主流程立即终止。</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：必须申报数据出境安全评估。</w:t>
      </w:r>
    </w:p>
    <w:p>
      <w:pPr>
        <w:numPr>
          <w:numId w:val="27"/>
        </w:numPr>
        <w:spacing w:before="120" w:after="120" w:line="288" w:lineRule="auto"/>
        <w:ind w:left="0"/>
        <w:jc w:val="left"/>
      </w:pPr>
      <w:r>
        <w:rPr>
          <w:rFonts w:eastAsia="等线" w:ascii="Arial" w:cs="Arial" w:hAnsi="Arial"/>
          <w:b w:val="true"/>
          <w:sz w:val="22"/>
        </w:rPr>
        <w:t>结构化诊断报告</w:t>
      </w:r>
      <w:r>
        <w:rPr>
          <w:rFonts w:eastAsia="等线" w:ascii="Arial" w:cs="Arial" w:hAnsi="Arial"/>
          <w:sz w:val="22"/>
        </w:rPr>
        <w:t>（主要内容）：</w:t>
      </w:r>
    </w:p>
    <w:p>
      <w:pPr>
        <w:numPr>
          <w:numId w:val="28"/>
        </w:numPr>
        <w:spacing w:before="120" w:after="120" w:line="288" w:lineRule="auto"/>
        <w:ind w:left="453"/>
        <w:jc w:val="left"/>
      </w:pPr>
      <w:r>
        <w:rPr>
          <w:rFonts w:eastAsia="等线" w:ascii="Arial" w:cs="Arial" w:hAnsi="Arial"/>
          <w:b w:val="true"/>
          <w:sz w:val="22"/>
        </w:rPr>
        <w:t>用户答案摘要</w:t>
      </w:r>
      <w:r>
        <w:rPr>
          <w:rFonts w:eastAsia="等线" w:ascii="Arial" w:cs="Arial" w:hAnsi="Arial"/>
          <w:sz w:val="22"/>
        </w:rPr>
        <w:t>：包含步骤一的原始答案及辅助判断子流程中的详细问答记录。</w:t>
      </w:r>
    </w:p>
    <w:p>
      <w:pPr>
        <w:numPr>
          <w:numId w:val="29"/>
        </w:numPr>
        <w:spacing w:before="120" w:after="120" w:line="288" w:lineRule="auto"/>
        <w:ind w:left="453"/>
        <w:jc w:val="left"/>
      </w:pPr>
      <w:r>
        <w:rPr>
          <w:rFonts w:eastAsia="等线" w:ascii="Arial" w:cs="Arial" w:hAnsi="Arial"/>
          <w:b w:val="true"/>
          <w:sz w:val="22"/>
        </w:rPr>
        <w:t>判定逻辑树</w:t>
      </w:r>
      <w:r>
        <w:rPr>
          <w:rFonts w:eastAsia="等线" w:ascii="Arial" w:cs="Arial" w:hAnsi="Arial"/>
          <w:sz w:val="22"/>
        </w:rPr>
        <w:t>：展示“涉及重要数据” -&gt; 立即触发《规定》第七条的短路逻辑。</w:t>
      </w:r>
    </w:p>
    <w:p>
      <w:pPr>
        <w:numPr>
          <w:numId w:val="30"/>
        </w:numPr>
        <w:spacing w:before="120" w:after="120" w:line="288" w:lineRule="auto"/>
        <w:ind w:left="453"/>
        <w:jc w:val="left"/>
      </w:pPr>
      <w:r>
        <w:rPr>
          <w:rFonts w:eastAsia="等线" w:ascii="Arial" w:cs="Arial" w:hAnsi="Arial"/>
          <w:b w:val="true"/>
          <w:sz w:val="22"/>
        </w:rPr>
        <w:t>逐条法规依据</w:t>
      </w:r>
      <w:r>
        <w:rPr>
          <w:rFonts w:eastAsia="等线" w:ascii="Arial" w:cs="Arial" w:hAnsi="Arial"/>
          <w:sz w:val="22"/>
        </w:rPr>
        <w:t>：重点引用并解释《促进和规范数据跨境流动规定》第七条，并结合《数据安全法》第二十一条及《卫生健康行业数据分类分级指南》的相关描述，说明将其判定为“可能涉及重要数据”的理由。</w:t>
      </w:r>
    </w:p>
    <w:p>
      <w:pPr>
        <w:numPr>
          <w:numId w:val="31"/>
        </w:numPr>
        <w:spacing w:before="120" w:after="120" w:line="288" w:lineRule="auto"/>
        <w:ind w:left="453"/>
        <w:jc w:val="left"/>
      </w:pPr>
      <w:r>
        <w:rPr>
          <w:rFonts w:eastAsia="等线" w:ascii="Arial" w:cs="Arial" w:hAnsi="Arial"/>
          <w:b w:val="true"/>
          <w:sz w:val="22"/>
        </w:rPr>
        <w:t>核心风险提示</w:t>
      </w:r>
      <w:r>
        <w:rPr>
          <w:rFonts w:eastAsia="等线" w:ascii="Arial" w:cs="Arial" w:hAnsi="Arial"/>
          <w:sz w:val="22"/>
        </w:rPr>
        <w:t>：强调重要数据出境的风险极高，必须进行安全评估；提示即使数据已脱敏，仍需谨慎评估重标识化风险。</w:t>
      </w:r>
    </w:p>
    <w:p>
      <w:pPr>
        <w:numPr>
          <w:numId w:val="32"/>
        </w:numPr>
        <w:spacing w:before="120" w:after="120" w:line="288" w:lineRule="auto"/>
        <w:ind w:left="453"/>
        <w:jc w:val="left"/>
      </w:pPr>
      <w:r>
        <w:rPr>
          <w:rFonts w:eastAsia="等线" w:ascii="Arial" w:cs="Arial" w:hAnsi="Arial"/>
          <w:b w:val="true"/>
          <w:sz w:val="22"/>
        </w:rPr>
        <w:t>后续行动建议</w:t>
      </w:r>
      <w:r>
        <w:rPr>
          <w:rFonts w:eastAsia="等线" w:ascii="Arial" w:cs="Arial" w:hAnsi="Arial"/>
          <w:sz w:val="22"/>
        </w:rPr>
        <w:t>：立即启动数据出境风险自评估，准备包括《数据出境风险自评估报告》在内的全套申报材料，通过“数据出境申报系统”提交。</w:t>
      </w:r>
    </w:p>
    <w:p>
      <w:pPr>
        <w:pStyle w:val="3"/>
        <w:spacing w:before="300" w:after="120" w:line="288" w:lineRule="auto"/>
        <w:ind w:left="0"/>
        <w:jc w:val="left"/>
        <w:outlineLvl w:val="2"/>
      </w:pPr>
      <w:bookmarkStart w:name="heading_2" w:id="2"/>
      <w:r>
        <w:rPr>
          <w:rFonts w:eastAsia="等线" w:ascii="Arial" w:cs="Arial" w:hAnsi="Arial"/>
          <w:b w:val="true"/>
          <w:sz w:val="30"/>
        </w:rPr>
        <w:t xml:space="preserve">测试案例三：匿名地图数据出境（豁免路径） </w:t>
      </w:r>
      <w:bookmarkEnd w:id="2"/>
    </w:p>
    <w:p>
      <w:pPr>
        <w:spacing w:before="120" w:after="120" w:line="288" w:lineRule="auto"/>
        <w:ind w:left="0"/>
        <w:jc w:val="left"/>
      </w:pPr>
      <w:r>
        <w:rPr>
          <w:rFonts w:eastAsia="等线" w:ascii="Arial" w:cs="Arial" w:hAnsi="Arial"/>
          <w:b w:val="true"/>
          <w:sz w:val="22"/>
        </w:rPr>
        <w:t>背景</w:t>
      </w:r>
      <w:r>
        <w:rPr>
          <w:rFonts w:eastAsia="等线" w:ascii="Arial" w:cs="Arial" w:hAnsi="Arial"/>
          <w:sz w:val="22"/>
        </w:rPr>
        <w:t>：一家中国自动驾驶技术公司“智驾未来”，向其德国母公司提供在中国境内采集的、已进行完全匿名化处理（无法关联到特定车辆或个人）的车辆传感器数据包，用于改进全球自动驾驶算法模型。</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步骤一：识别“重要数据”出境义务</w:t>
      </w:r>
    </w:p>
    <w:p>
      <w:pPr>
        <w:numPr>
          <w:numId w:val="34"/>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否</w:t>
      </w:r>
      <w:r>
        <w:rPr>
          <w:rFonts w:eastAsia="等线" w:ascii="Arial" w:cs="Arial" w:hAnsi="Arial"/>
          <w:sz w:val="22"/>
        </w:rPr>
        <w:t>。公司确认，该匿名传感器数据包不包含地理精度达到保密级别的测绘信息，不涉及国家秘密或公司认定的重要数据。</w:t>
      </w:r>
    </w:p>
    <w:p>
      <w:pPr>
        <w:numPr>
          <w:numId w:val="35"/>
        </w:numPr>
        <w:spacing w:before="120" w:after="120" w:line="288" w:lineRule="auto"/>
        <w:ind w:left="0"/>
        <w:jc w:val="left"/>
      </w:pPr>
      <w:r>
        <w:rPr>
          <w:rFonts w:eastAsia="等线" w:ascii="Arial" w:cs="Arial" w:hAnsi="Arial"/>
          <w:b w:val="true"/>
          <w:sz w:val="22"/>
        </w:rPr>
        <w:t>步骤二：识别“个人信息”与基础豁免</w:t>
      </w:r>
    </w:p>
    <w:p>
      <w:pPr>
        <w:numPr>
          <w:numId w:val="36"/>
        </w:numPr>
        <w:spacing w:before="120" w:after="120" w:line="288" w:lineRule="auto"/>
        <w:ind w:left="453"/>
        <w:jc w:val="left"/>
      </w:pPr>
      <w:r>
        <w:rPr>
          <w:rFonts w:eastAsia="等线" w:ascii="Arial" w:cs="Arial" w:hAnsi="Arial"/>
          <w:sz w:val="22"/>
        </w:rPr>
        <w:t>用户回答：</w:t>
      </w:r>
      <w:r>
        <w:rPr>
          <w:rFonts w:eastAsia="等线" w:ascii="Arial" w:cs="Arial" w:hAnsi="Arial"/>
          <w:b w:val="true"/>
          <w:sz w:val="22"/>
        </w:rPr>
        <w:t>不知道</w:t>
      </w:r>
      <w:r>
        <w:rPr>
          <w:rFonts w:eastAsia="等线" w:ascii="Arial" w:cs="Arial" w:hAnsi="Arial"/>
          <w:sz w:val="22"/>
        </w:rPr>
        <w:t>。系统启动辅助判断子流程。</w:t>
      </w:r>
    </w:p>
    <w:p>
      <w:pPr>
        <w:numPr>
          <w:numId w:val="37"/>
        </w:numPr>
        <w:spacing w:before="120" w:after="120" w:line="288" w:lineRule="auto"/>
        <w:ind w:left="907"/>
        <w:jc w:val="left"/>
      </w:pPr>
      <w:r>
        <w:rPr>
          <w:rFonts w:eastAsia="等线" w:ascii="Arial" w:cs="Arial" w:hAnsi="Arial"/>
          <w:b w:val="true"/>
          <w:sz w:val="22"/>
        </w:rPr>
        <w:t>提供示例清单</w:t>
      </w:r>
      <w:r>
        <w:rPr>
          <w:rFonts w:eastAsia="等线" w:ascii="Arial" w:cs="Arial" w:hAnsi="Arial"/>
          <w:sz w:val="22"/>
        </w:rPr>
        <w:t>：系统展示个人信息清单。</w:t>
      </w:r>
    </w:p>
    <w:p>
      <w:pPr>
        <w:numPr>
          <w:numId w:val="38"/>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：用户逐一核对后确认，数据包中不包含任何清单所列信息（如车辆VIN码、车牌、驾驶员信息等均已去除且无法复原）。系统提示：“根据您的描述，该数据不包含个人信息。”并引导用户选择“否”。</w:t>
      </w:r>
    </w:p>
    <w:p>
      <w:pPr>
        <w:numPr>
          <w:numId w:val="39"/>
        </w:numPr>
        <w:spacing w:before="120" w:after="120" w:line="288" w:lineRule="auto"/>
        <w:ind w:left="0"/>
        <w:jc w:val="left"/>
      </w:pPr>
      <w:r>
        <w:rPr>
          <w:rFonts w:eastAsia="等线" w:ascii="Arial" w:cs="Arial" w:hAnsi="Arial"/>
          <w:b w:val="true"/>
          <w:sz w:val="22"/>
        </w:rPr>
        <w:t>步骤三</w:t>
      </w:r>
      <w:r>
        <w:rPr>
          <w:rFonts w:eastAsia="等线" w:ascii="Arial" w:cs="Arial" w:hAnsi="Arial"/>
          <w:sz w:val="22"/>
        </w:rPr>
        <w:t>：因步骤二选择“否”，主流程立即终止。</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40"/>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：属于豁免情形，不需要申报数据出境安全评估、订立个人信息出境标准合同、通过个人信息保护认证。</w:t>
      </w:r>
    </w:p>
    <w:p>
      <w:pPr>
        <w:numPr>
          <w:numId w:val="41"/>
        </w:numPr>
        <w:spacing w:before="120" w:after="120" w:line="288" w:lineRule="auto"/>
        <w:ind w:left="0"/>
        <w:jc w:val="left"/>
      </w:pPr>
      <w:r>
        <w:rPr>
          <w:rFonts w:eastAsia="等线" w:ascii="Arial" w:cs="Arial" w:hAnsi="Arial"/>
          <w:b w:val="true"/>
          <w:sz w:val="22"/>
        </w:rPr>
        <w:t>结构化诊断报告</w:t>
      </w:r>
      <w:r>
        <w:rPr>
          <w:rFonts w:eastAsia="等线" w:ascii="Arial" w:cs="Arial" w:hAnsi="Arial"/>
          <w:sz w:val="22"/>
        </w:rPr>
        <w:t>（主要内容）：</w:t>
      </w:r>
    </w:p>
    <w:p>
      <w:pPr>
        <w:numPr>
          <w:numId w:val="42"/>
        </w:numPr>
        <w:spacing w:before="120" w:after="120" w:line="288" w:lineRule="auto"/>
        <w:ind w:left="453"/>
        <w:jc w:val="left"/>
      </w:pPr>
      <w:r>
        <w:rPr>
          <w:rFonts w:eastAsia="等线" w:ascii="Arial" w:cs="Arial" w:hAnsi="Arial"/>
          <w:b w:val="true"/>
          <w:sz w:val="22"/>
        </w:rPr>
        <w:t>用户答案摘要</w:t>
      </w:r>
      <w:r>
        <w:rPr>
          <w:rFonts w:eastAsia="等线" w:ascii="Arial" w:cs="Arial" w:hAnsi="Arial"/>
          <w:sz w:val="22"/>
        </w:rPr>
        <w:t>：包含步骤一、二的原始答案及辅助判断子流程中的详细核对记录。</w:t>
      </w:r>
    </w:p>
    <w:p>
      <w:pPr>
        <w:numPr>
          <w:numId w:val="43"/>
        </w:numPr>
        <w:spacing w:before="120" w:after="120" w:line="288" w:lineRule="auto"/>
        <w:ind w:left="453"/>
        <w:jc w:val="left"/>
      </w:pPr>
      <w:r>
        <w:rPr>
          <w:rFonts w:eastAsia="等线" w:ascii="Arial" w:cs="Arial" w:hAnsi="Arial"/>
          <w:b w:val="true"/>
          <w:sz w:val="22"/>
        </w:rPr>
        <w:t>判定逻辑树</w:t>
      </w:r>
      <w:r>
        <w:rPr>
          <w:rFonts w:eastAsia="等线" w:ascii="Arial" w:cs="Arial" w:hAnsi="Arial"/>
          <w:sz w:val="22"/>
        </w:rPr>
        <w:t>：展示“不涉及重要数据” -&gt; “不包含个人信息” -&gt; 触发《规定》第三条豁免的逻辑。</w:t>
      </w:r>
    </w:p>
    <w:p>
      <w:pPr>
        <w:numPr>
          <w:numId w:val="44"/>
        </w:numPr>
        <w:spacing w:before="120" w:after="120" w:line="288" w:lineRule="auto"/>
        <w:ind w:left="453"/>
        <w:jc w:val="left"/>
      </w:pPr>
      <w:r>
        <w:rPr>
          <w:rFonts w:eastAsia="等线" w:ascii="Arial" w:cs="Arial" w:hAnsi="Arial"/>
          <w:b w:val="true"/>
          <w:sz w:val="22"/>
        </w:rPr>
        <w:t>逐条法规依据</w:t>
      </w:r>
      <w:r>
        <w:rPr>
          <w:rFonts w:eastAsia="等线" w:ascii="Arial" w:cs="Arial" w:hAnsi="Arial"/>
          <w:sz w:val="22"/>
        </w:rPr>
        <w:t>：重点引用并解释《促进和规范数据跨境流动规定》第三条，并援引《个人信息保护法》第四条关于“匿名化”的定义，支持“不包含个人信息”的判断。</w:t>
      </w:r>
    </w:p>
    <w:p>
      <w:pPr>
        <w:numPr>
          <w:numId w:val="45"/>
        </w:numPr>
        <w:spacing w:before="120" w:after="120" w:line="288" w:lineRule="auto"/>
        <w:ind w:left="453"/>
        <w:jc w:val="left"/>
      </w:pPr>
      <w:r>
        <w:rPr>
          <w:rFonts w:eastAsia="等线" w:ascii="Arial" w:cs="Arial" w:hAnsi="Arial"/>
          <w:b w:val="true"/>
          <w:sz w:val="22"/>
        </w:rPr>
        <w:t>核心风险提示</w:t>
      </w:r>
      <w:r>
        <w:rPr>
          <w:rFonts w:eastAsia="等线" w:ascii="Arial" w:cs="Arial" w:hAnsi="Arial"/>
          <w:sz w:val="22"/>
        </w:rPr>
        <w:t>：提示“匿名化”需达到无法识别的标准，并建议公司留存匿名化技术处理的有效性证明，以备监管核查。</w:t>
      </w:r>
    </w:p>
    <w:p>
      <w:pPr>
        <w:numPr>
          <w:numId w:val="46"/>
        </w:numPr>
        <w:spacing w:before="120" w:after="120" w:line="288" w:lineRule="auto"/>
        <w:ind w:left="453"/>
        <w:jc w:val="left"/>
      </w:pPr>
      <w:r>
        <w:rPr>
          <w:rFonts w:eastAsia="等线" w:ascii="Arial" w:cs="Arial" w:hAnsi="Arial"/>
          <w:b w:val="true"/>
          <w:sz w:val="22"/>
        </w:rPr>
        <w:t>后续行动建议</w:t>
      </w:r>
      <w:r>
        <w:rPr>
          <w:rFonts w:eastAsia="等线" w:ascii="Arial" w:cs="Arial" w:hAnsi="Arial"/>
          <w:sz w:val="22"/>
        </w:rPr>
        <w:t>：建议内部完善数据匿名化处理流程的技术文档和管理制度，确保合规闭环。</w:t>
      </w:r>
    </w:p>
    <w:p>
      <w:pPr>
        <w:spacing w:before="120" w:after="120" w:line="288" w:lineRule="auto"/>
        <w:ind w:left="0"/>
        <w:jc w:val="left"/>
      </w:pPr>
      <w:r>
        <w:rPr>
          <w:rFonts w:eastAsia="等线" w:ascii="Arial" w:cs="Arial" w:hAnsi="Arial"/>
          <w:sz w:val="22"/>
        </w:rPr>
        <w:t>这三个案例分别覆盖了标准合同/认证、安全评估、豁免三大核心路径，并测试了“不知道”场景下的辅助判断功能，可以较为全面地验证“合规路径诊断”模块的运行逻辑。</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98641">
    <w:lvl>
      <w:numFmt w:val="bullet"/>
      <w:suff w:val="tab"/>
      <w:lvlText w:val="•"/>
      <w:rPr>
        <w:color w:val="3370ff"/>
      </w:rPr>
    </w:lvl>
  </w:abstractNum>
  <w:abstractNum w:abstractNumId="1998642">
    <w:lvl>
      <w:numFmt w:val="bullet"/>
      <w:suff w:val="tab"/>
      <w:lvlText w:val="￮"/>
      <w:rPr>
        <w:color w:val="3370ff"/>
      </w:rPr>
    </w:lvl>
  </w:abstractNum>
  <w:abstractNum w:abstractNumId="1998643">
    <w:lvl>
      <w:numFmt w:val="bullet"/>
      <w:suff w:val="tab"/>
      <w:lvlText w:val="•"/>
      <w:rPr>
        <w:color w:val="3370ff"/>
      </w:rPr>
    </w:lvl>
  </w:abstractNum>
  <w:abstractNum w:abstractNumId="1998644">
    <w:lvl>
      <w:numFmt w:val="bullet"/>
      <w:suff w:val="tab"/>
      <w:lvlText w:val="￮"/>
      <w:rPr>
        <w:color w:val="3370ff"/>
      </w:rPr>
    </w:lvl>
  </w:abstractNum>
  <w:abstractNum w:abstractNumId="1998645">
    <w:lvl>
      <w:numFmt w:val="bullet"/>
      <w:suff w:val="tab"/>
      <w:lvlText w:val="•"/>
      <w:rPr>
        <w:color w:val="3370ff"/>
      </w:rPr>
    </w:lvl>
  </w:abstractNum>
  <w:abstractNum w:abstractNumId="1998646">
    <w:lvl>
      <w:numFmt w:val="bullet"/>
      <w:suff w:val="tab"/>
      <w:lvlText w:val="￮"/>
      <w:rPr>
        <w:color w:val="3370ff"/>
      </w:rPr>
    </w:lvl>
  </w:abstractNum>
  <w:abstractNum w:abstractNumId="1998647">
    <w:lvl>
      <w:numFmt w:val="bullet"/>
      <w:suff w:val="tab"/>
      <w:lvlText w:val="•"/>
      <w:rPr>
        <w:color w:val="3370ff"/>
      </w:rPr>
    </w:lvl>
  </w:abstractNum>
  <w:abstractNum w:abstractNumId="1998648">
    <w:lvl>
      <w:numFmt w:val="bullet"/>
      <w:suff w:val="tab"/>
      <w:lvlText w:val="￮"/>
      <w:rPr>
        <w:color w:val="3370ff"/>
      </w:rPr>
    </w:lvl>
  </w:abstractNum>
  <w:abstractNum w:abstractNumId="1998649">
    <w:lvl>
      <w:numFmt w:val="bullet"/>
      <w:suff w:val="tab"/>
      <w:lvlText w:val="•"/>
      <w:rPr>
        <w:color w:val="3370ff"/>
      </w:rPr>
    </w:lvl>
  </w:abstractNum>
  <w:abstractNum w:abstractNumId="1998650">
    <w:lvl>
      <w:numFmt w:val="bullet"/>
      <w:suff w:val="tab"/>
      <w:lvlText w:val="￮"/>
      <w:rPr>
        <w:color w:val="3370ff"/>
      </w:rPr>
    </w:lvl>
  </w:abstractNum>
  <w:abstractNum w:abstractNumId="1998651">
    <w:lvl>
      <w:numFmt w:val="bullet"/>
      <w:suff w:val="tab"/>
      <w:lvlText w:val="￮"/>
      <w:rPr>
        <w:color w:val="3370ff"/>
      </w:rPr>
    </w:lvl>
  </w:abstractNum>
  <w:abstractNum w:abstractNumId="1998652">
    <w:lvl>
      <w:numFmt w:val="bullet"/>
      <w:suff w:val="tab"/>
      <w:lvlText w:val="▪"/>
      <w:rPr>
        <w:color w:val="3370ff"/>
        <w:sz w:val="11"/>
      </w:rPr>
    </w:lvl>
  </w:abstractNum>
  <w:abstractNum w:abstractNumId="1998653">
    <w:lvl>
      <w:start w:val="1"/>
      <w:numFmt w:val="decimal"/>
      <w:suff w:val="tab"/>
      <w:lvlText w:val="%1."/>
      <w:rPr>
        <w:color w:val="3370ff"/>
      </w:rPr>
    </w:lvl>
  </w:abstractNum>
  <w:abstractNum w:abstractNumId="1998654">
    <w:lvl>
      <w:start w:val="2"/>
      <w:numFmt w:val="decimal"/>
      <w:suff w:val="tab"/>
      <w:lvlText w:val="%1."/>
      <w:rPr>
        <w:color w:val="3370ff"/>
      </w:rPr>
    </w:lvl>
  </w:abstractNum>
  <w:abstractNum w:abstractNumId="1998655">
    <w:lvl>
      <w:numFmt w:val="bullet"/>
      <w:suff w:val="tab"/>
      <w:lvlText w:val="￮"/>
      <w:rPr>
        <w:color w:val="3370ff"/>
      </w:rPr>
    </w:lvl>
  </w:abstractNum>
  <w:abstractNum w:abstractNumId="1998656">
    <w:lvl>
      <w:numFmt w:val="bullet"/>
      <w:suff w:val="tab"/>
      <w:lvlText w:val="￮"/>
      <w:rPr>
        <w:color w:val="3370ff"/>
      </w:rPr>
    </w:lvl>
  </w:abstractNum>
  <w:abstractNum w:abstractNumId="1998657">
    <w:lvl>
      <w:numFmt w:val="bullet"/>
      <w:suff w:val="tab"/>
      <w:lvlText w:val="￮"/>
      <w:rPr>
        <w:color w:val="3370ff"/>
      </w:rPr>
    </w:lvl>
  </w:abstractNum>
  <w:abstractNum w:abstractNumId="1998658">
    <w:lvl>
      <w:numFmt w:val="bullet"/>
      <w:suff w:val="tab"/>
      <w:lvlText w:val="￮"/>
      <w:rPr>
        <w:color w:val="3370ff"/>
      </w:rPr>
    </w:lvl>
  </w:abstractNum>
  <w:abstractNum w:abstractNumId="1998659">
    <w:lvl>
      <w:numFmt w:val="bullet"/>
      <w:suff w:val="tab"/>
      <w:lvlText w:val="￮"/>
      <w:rPr>
        <w:color w:val="3370ff"/>
      </w:rPr>
    </w:lvl>
  </w:abstractNum>
  <w:abstractNum w:abstractNumId="1998660">
    <w:lvl>
      <w:numFmt w:val="bullet"/>
      <w:suff w:val="tab"/>
      <w:lvlText w:val="•"/>
      <w:rPr>
        <w:color w:val="3370ff"/>
      </w:rPr>
    </w:lvl>
  </w:abstractNum>
  <w:abstractNum w:abstractNumId="1998661">
    <w:lvl>
      <w:numFmt w:val="bullet"/>
      <w:suff w:val="tab"/>
      <w:lvlText w:val="￮"/>
      <w:rPr>
        <w:color w:val="3370ff"/>
      </w:rPr>
    </w:lvl>
  </w:abstractNum>
  <w:abstractNum w:abstractNumId="1998662">
    <w:lvl>
      <w:numFmt w:val="bullet"/>
      <w:suff w:val="tab"/>
      <w:lvlText w:val="▪"/>
      <w:rPr>
        <w:color w:val="3370ff"/>
        <w:sz w:val="11"/>
      </w:rPr>
    </w:lvl>
  </w:abstractNum>
  <w:abstractNum w:abstractNumId="1998663">
    <w:lvl>
      <w:numFmt w:val="bullet"/>
      <w:suff w:val="tab"/>
      <w:lvlText w:val="▪"/>
      <w:rPr>
        <w:color w:val="3370ff"/>
        <w:sz w:val="11"/>
      </w:rPr>
    </w:lvl>
  </w:abstractNum>
  <w:abstractNum w:abstractNumId="1998664">
    <w:lvl>
      <w:numFmt w:val="bullet"/>
      <w:suff w:val="tab"/>
      <w:lvlText w:val="▪"/>
      <w:rPr>
        <w:color w:val="3370ff"/>
        <w:sz w:val="11"/>
      </w:rPr>
    </w:lvl>
  </w:abstractNum>
  <w:abstractNum w:abstractNumId="1998665">
    <w:lvl>
      <w:numFmt w:val="bullet"/>
      <w:suff w:val="tab"/>
      <w:lvlText w:val="•"/>
      <w:rPr>
        <w:color w:val="3370ff"/>
      </w:rPr>
    </w:lvl>
  </w:abstractNum>
  <w:abstractNum w:abstractNumId="1998666">
    <w:lvl>
      <w:start w:val="1"/>
      <w:numFmt w:val="decimal"/>
      <w:suff w:val="tab"/>
      <w:lvlText w:val="%1."/>
      <w:rPr>
        <w:color w:val="3370ff"/>
      </w:rPr>
    </w:lvl>
  </w:abstractNum>
  <w:abstractNum w:abstractNumId="1998667">
    <w:lvl>
      <w:start w:val="2"/>
      <w:numFmt w:val="decimal"/>
      <w:suff w:val="tab"/>
      <w:lvlText w:val="%1."/>
      <w:rPr>
        <w:color w:val="3370ff"/>
      </w:rPr>
    </w:lvl>
  </w:abstractNum>
  <w:abstractNum w:abstractNumId="1998668">
    <w:lvl>
      <w:numFmt w:val="bullet"/>
      <w:suff w:val="tab"/>
      <w:lvlText w:val="￮"/>
      <w:rPr>
        <w:color w:val="3370ff"/>
      </w:rPr>
    </w:lvl>
  </w:abstractNum>
  <w:abstractNum w:abstractNumId="1998669">
    <w:lvl>
      <w:numFmt w:val="bullet"/>
      <w:suff w:val="tab"/>
      <w:lvlText w:val="￮"/>
      <w:rPr>
        <w:color w:val="3370ff"/>
      </w:rPr>
    </w:lvl>
  </w:abstractNum>
  <w:abstractNum w:abstractNumId="1998670">
    <w:lvl>
      <w:numFmt w:val="bullet"/>
      <w:suff w:val="tab"/>
      <w:lvlText w:val="￮"/>
      <w:rPr>
        <w:color w:val="3370ff"/>
      </w:rPr>
    </w:lvl>
  </w:abstractNum>
  <w:abstractNum w:abstractNumId="1998671">
    <w:lvl>
      <w:numFmt w:val="bullet"/>
      <w:suff w:val="tab"/>
      <w:lvlText w:val="￮"/>
      <w:rPr>
        <w:color w:val="3370ff"/>
      </w:rPr>
    </w:lvl>
  </w:abstractNum>
  <w:abstractNum w:abstractNumId="1998672">
    <w:lvl>
      <w:numFmt w:val="bullet"/>
      <w:suff w:val="tab"/>
      <w:lvlText w:val="￮"/>
      <w:rPr>
        <w:color w:val="3370ff"/>
      </w:rPr>
    </w:lvl>
  </w:abstractNum>
  <w:abstractNum w:abstractNumId="1998673">
    <w:lvl>
      <w:numFmt w:val="bullet"/>
      <w:suff w:val="tab"/>
      <w:lvlText w:val="•"/>
      <w:rPr>
        <w:color w:val="3370ff"/>
      </w:rPr>
    </w:lvl>
  </w:abstractNum>
  <w:abstractNum w:abstractNumId="1998674">
    <w:lvl>
      <w:numFmt w:val="bullet"/>
      <w:suff w:val="tab"/>
      <w:lvlText w:val="￮"/>
      <w:rPr>
        <w:color w:val="3370ff"/>
      </w:rPr>
    </w:lvl>
  </w:abstractNum>
  <w:abstractNum w:abstractNumId="1998675">
    <w:lvl>
      <w:numFmt w:val="bullet"/>
      <w:suff w:val="tab"/>
      <w:lvlText w:val="•"/>
      <w:rPr>
        <w:color w:val="3370ff"/>
      </w:rPr>
    </w:lvl>
  </w:abstractNum>
  <w:abstractNum w:abstractNumId="1998676">
    <w:lvl>
      <w:numFmt w:val="bullet"/>
      <w:suff w:val="tab"/>
      <w:lvlText w:val="￮"/>
      <w:rPr>
        <w:color w:val="3370ff"/>
      </w:rPr>
    </w:lvl>
  </w:abstractNum>
  <w:abstractNum w:abstractNumId="1998677">
    <w:lvl>
      <w:numFmt w:val="bullet"/>
      <w:suff w:val="tab"/>
      <w:lvlText w:val="▪"/>
      <w:rPr>
        <w:color w:val="3370ff"/>
        <w:sz w:val="11"/>
      </w:rPr>
    </w:lvl>
  </w:abstractNum>
  <w:abstractNum w:abstractNumId="1998678">
    <w:lvl>
      <w:numFmt w:val="bullet"/>
      <w:suff w:val="tab"/>
      <w:lvlText w:val="▪"/>
      <w:rPr>
        <w:color w:val="3370ff"/>
        <w:sz w:val="11"/>
      </w:rPr>
    </w:lvl>
  </w:abstractNum>
  <w:abstractNum w:abstractNumId="1998679">
    <w:lvl>
      <w:numFmt w:val="bullet"/>
      <w:suff w:val="tab"/>
      <w:lvlText w:val="•"/>
      <w:rPr>
        <w:color w:val="3370ff"/>
      </w:rPr>
    </w:lvl>
  </w:abstractNum>
  <w:abstractNum w:abstractNumId="1998680">
    <w:lvl>
      <w:start w:val="1"/>
      <w:numFmt w:val="decimal"/>
      <w:suff w:val="tab"/>
      <w:lvlText w:val="%1."/>
      <w:rPr>
        <w:color w:val="3370ff"/>
      </w:rPr>
    </w:lvl>
  </w:abstractNum>
  <w:abstractNum w:abstractNumId="1998681">
    <w:lvl>
      <w:start w:val="2"/>
      <w:numFmt w:val="decimal"/>
      <w:suff w:val="tab"/>
      <w:lvlText w:val="%1."/>
      <w:rPr>
        <w:color w:val="3370ff"/>
      </w:rPr>
    </w:lvl>
  </w:abstractNum>
  <w:abstractNum w:abstractNumId="1998682">
    <w:lvl>
      <w:numFmt w:val="bullet"/>
      <w:suff w:val="tab"/>
      <w:lvlText w:val="￮"/>
      <w:rPr>
        <w:color w:val="3370ff"/>
      </w:rPr>
    </w:lvl>
  </w:abstractNum>
  <w:abstractNum w:abstractNumId="1998683">
    <w:lvl>
      <w:numFmt w:val="bullet"/>
      <w:suff w:val="tab"/>
      <w:lvlText w:val="￮"/>
      <w:rPr>
        <w:color w:val="3370ff"/>
      </w:rPr>
    </w:lvl>
  </w:abstractNum>
  <w:abstractNum w:abstractNumId="1998684">
    <w:lvl>
      <w:numFmt w:val="bullet"/>
      <w:suff w:val="tab"/>
      <w:lvlText w:val="￮"/>
      <w:rPr>
        <w:color w:val="3370ff"/>
      </w:rPr>
    </w:lvl>
  </w:abstractNum>
  <w:abstractNum w:abstractNumId="1998685">
    <w:lvl>
      <w:numFmt w:val="bullet"/>
      <w:suff w:val="tab"/>
      <w:lvlText w:val="￮"/>
      <w:rPr>
        <w:color w:val="3370ff"/>
      </w:rPr>
    </w:lvl>
  </w:abstractNum>
  <w:abstractNum w:abstractNumId="1998686">
    <w:lvl>
      <w:numFmt w:val="bullet"/>
      <w:suff w:val="tab"/>
      <w:lvlText w:val="￮"/>
      <w:rPr>
        <w:color w:val="3370ff"/>
      </w:rPr>
    </w:lvl>
  </w:abstractNum>
  <w:num w:numId="1">
    <w:abstractNumId w:val="1998641"/>
  </w:num>
  <w:num w:numId="2">
    <w:abstractNumId w:val="1998642"/>
  </w:num>
  <w:num w:numId="3">
    <w:abstractNumId w:val="1998643"/>
  </w:num>
  <w:num w:numId="4">
    <w:abstractNumId w:val="1998644"/>
  </w:num>
  <w:num w:numId="5">
    <w:abstractNumId w:val="1998645"/>
  </w:num>
  <w:num w:numId="6">
    <w:abstractNumId w:val="1998646"/>
  </w:num>
  <w:num w:numId="7">
    <w:abstractNumId w:val="1998647"/>
  </w:num>
  <w:num w:numId="8">
    <w:abstractNumId w:val="1998648"/>
  </w:num>
  <w:num w:numId="9">
    <w:abstractNumId w:val="1998649"/>
  </w:num>
  <w:num w:numId="10">
    <w:abstractNumId w:val="1998650"/>
  </w:num>
  <w:num w:numId="11">
    <w:abstractNumId w:val="1998651"/>
  </w:num>
  <w:num w:numId="12">
    <w:abstractNumId w:val="1998652"/>
  </w:num>
  <w:num w:numId="13">
    <w:abstractNumId w:val="1998653"/>
  </w:num>
  <w:num w:numId="14">
    <w:abstractNumId w:val="1998654"/>
  </w:num>
  <w:num w:numId="15">
    <w:abstractNumId w:val="1998655"/>
  </w:num>
  <w:num w:numId="16">
    <w:abstractNumId w:val="1998656"/>
  </w:num>
  <w:num w:numId="17">
    <w:abstractNumId w:val="1998657"/>
  </w:num>
  <w:num w:numId="18">
    <w:abstractNumId w:val="1998658"/>
  </w:num>
  <w:num w:numId="19">
    <w:abstractNumId w:val="1998659"/>
  </w:num>
  <w:num w:numId="20">
    <w:abstractNumId w:val="1998660"/>
  </w:num>
  <w:num w:numId="21">
    <w:abstractNumId w:val="1998661"/>
  </w:num>
  <w:num w:numId="22">
    <w:abstractNumId w:val="1998662"/>
  </w:num>
  <w:num w:numId="23">
    <w:abstractNumId w:val="1998663"/>
  </w:num>
  <w:num w:numId="24">
    <w:abstractNumId w:val="1998664"/>
  </w:num>
  <w:num w:numId="25">
    <w:abstractNumId w:val="1998665"/>
  </w:num>
  <w:num w:numId="26">
    <w:abstractNumId w:val="1998666"/>
  </w:num>
  <w:num w:numId="27">
    <w:abstractNumId w:val="1998667"/>
  </w:num>
  <w:num w:numId="28">
    <w:abstractNumId w:val="1998668"/>
  </w:num>
  <w:num w:numId="29">
    <w:abstractNumId w:val="1998669"/>
  </w:num>
  <w:num w:numId="30">
    <w:abstractNumId w:val="1998670"/>
  </w:num>
  <w:num w:numId="31">
    <w:abstractNumId w:val="1998671"/>
  </w:num>
  <w:num w:numId="32">
    <w:abstractNumId w:val="1998672"/>
  </w:num>
  <w:num w:numId="33">
    <w:abstractNumId w:val="1998673"/>
  </w:num>
  <w:num w:numId="34">
    <w:abstractNumId w:val="1998674"/>
  </w:num>
  <w:num w:numId="35">
    <w:abstractNumId w:val="1998675"/>
  </w:num>
  <w:num w:numId="36">
    <w:abstractNumId w:val="1998676"/>
  </w:num>
  <w:num w:numId="37">
    <w:abstractNumId w:val="1998677"/>
  </w:num>
  <w:num w:numId="38">
    <w:abstractNumId w:val="1998678"/>
  </w:num>
  <w:num w:numId="39">
    <w:abstractNumId w:val="1998679"/>
  </w:num>
  <w:num w:numId="40">
    <w:abstractNumId w:val="1998680"/>
  </w:num>
  <w:num w:numId="41">
    <w:abstractNumId w:val="1998681"/>
  </w:num>
  <w:num w:numId="42">
    <w:abstractNumId w:val="1998682"/>
  </w:num>
  <w:num w:numId="43">
    <w:abstractNumId w:val="1998683"/>
  </w:num>
  <w:num w:numId="44">
    <w:abstractNumId w:val="1998684"/>
  </w:num>
  <w:num w:numId="45">
    <w:abstractNumId w:val="1998685"/>
  </w:num>
  <w:num w:numId="46">
    <w:abstractNumId w:val="19986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2026-05-30T02:19:31Z</dcterms:created>
  <dc:creator>Apache POI</dc:creator>
</cp:coreProperties>
</file>