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“SCC审查”功能说明与路径描述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用户输入：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[EN Standard Contractual Clauses.doc]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系统输出：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输出的：</w:t>
      </w:r>
      <w:r>
        <w:rPr>
          <w:rFonts w:eastAsia="等线" w:ascii="Arial" w:cs="Arial" w:hAnsi="Arial"/>
          <w:b w:val="true"/>
          <w:sz w:val="22"/>
        </w:rPr>
        <w:t>《SCC合规审查报告》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：Microsoft Word 文档 (.docx)，便于用户后续编辑和批注。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文件概要</w:t>
      </w:r>
      <w:r>
        <w:rPr>
          <w:rFonts w:eastAsia="等线" w:ascii="Arial" w:cs="Arial" w:hAnsi="Arial"/>
          <w:sz w:val="22"/>
        </w:rPr>
        <w:t>：列出已审查的文件名称、审查所依据的主要法律法规框架（如中国《个人信息保护法》、欧盟GDPR标准合同条款SCCs）。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总体合规评级</w:t>
      </w:r>
      <w:r>
        <w:rPr>
          <w:rFonts w:eastAsia="等线" w:ascii="Arial" w:cs="Arial" w:hAnsi="Arial"/>
          <w:sz w:val="22"/>
        </w:rPr>
        <w:t>：给出一个总结性判断（例如：“整体风险中等，需重点关注以下5项缺失与高风险条款”）。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条款级审查发现</w:t>
      </w:r>
      <w:r>
        <w:rPr>
          <w:rFonts w:eastAsia="等线" w:ascii="Arial" w:cs="Arial" w:hAnsi="Arial"/>
          <w:sz w:val="22"/>
        </w:rPr>
        <w:t>（报告主体）：以清单形式逐项列出问题，每项包含：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：问题所在的文件、章节、页码/条款号。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原文引用</w:t>
      </w:r>
      <w:r>
        <w:rPr>
          <w:rFonts w:eastAsia="等线" w:ascii="Arial" w:cs="Arial" w:hAnsi="Arial"/>
          <w:sz w:val="22"/>
        </w:rPr>
        <w:t>：摘录有问题的合同原文。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问题类型</w:t>
      </w:r>
      <w:r>
        <w:rPr>
          <w:rFonts w:eastAsia="等线" w:ascii="Arial" w:cs="Arial" w:hAnsi="Arial"/>
          <w:sz w:val="22"/>
        </w:rPr>
        <w:t>：标识为“缺失条款”、“定义模糊”、“责任限制过度”、“与法规冲突”、“与实践不一致”等。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风险分析</w:t>
      </w:r>
      <w:r>
        <w:rPr>
          <w:rFonts w:eastAsia="等线" w:ascii="Arial" w:cs="Arial" w:hAnsi="Arial"/>
          <w:sz w:val="22"/>
        </w:rPr>
        <w:t>：解释该问题可能引发的法律、商业或操作风险（例如：“此模糊表述可能导致在数据泄露时责任界定不清”）。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法规/标准依据</w:t>
      </w:r>
      <w:r>
        <w:rPr>
          <w:rFonts w:eastAsia="等线" w:ascii="Arial" w:cs="Arial" w:hAnsi="Arial"/>
          <w:sz w:val="22"/>
        </w:rPr>
        <w:t>：引用相关的法律法规条文、监管要求或行业最佳实践。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修改建议</w:t>
      </w:r>
      <w:r>
        <w:rPr>
          <w:rFonts w:eastAsia="等线" w:ascii="Arial" w:cs="Arial" w:hAnsi="Arial"/>
          <w:sz w:val="22"/>
        </w:rPr>
        <w:t>：提供具体的、可供参考的修改文本或新增条款草案。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输出依据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根据您的要求，以下是为“SCC合规审查”功能提供输出依据的详尽清单，涵盖欧盟层面所有现行有效且与标准合同条款（SCCs）审查直接相关的法律法规、官方指南及关键判例。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一、 核心法规（法律基础）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文件名/标准号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具体条文序号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条文内容（摘要）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与SCC审查的关联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《通用数据保护条例》(GDPR) (Regulation (EU) 2016/679)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第44条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“任何向第三国或国际组织进行的个人数据处理或传输，均须遵守本章规定，无论处理行为是否在欧盟境内进行。”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确立了数据跨境传输的总体法律框架，是SCC存在的根本前提。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第45条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规定了欧盟委员会可通过“充分性决定”认定第三国、地区或特定行业提供与欧盟相当的保护水平。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SCC是在无充分性决定时使用的替代性合规工具。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第46条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规定了在无充分性决定时，控制者或处理者可采取的“适当保障措施”，其中第(2)(c)款明确包括“委员会通过的标准数据保护条款”。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SCC作为合规工具的法定直接授权依据。 审查SCC是否构成“适当保障措施”的核心法律标准。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第47条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规定了“有约束力的公司规则”(BCRs)作为适当保障措施。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与SCC并列的另一种跨境传输机制，审查时需明确SCC的适用场景。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第49条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规定了在特定情况下可适用的“减损”情形（如数据主体明确同意、履行合同所必需等）。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审查SCC时需注意，不能滥用SCC来规避本应适用减损情形但不符合其严格条件的传输。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第28条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规定了控制者与处理者之间关系的合同要求，特别是第(3)和(4)款关于处理者义务、转委托等。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SCC模块二（C2P）和模块三（P2P）的设计直接源于此条。 审查SCC时必须确保其满足GDPR对处理者关系的全部合同要求。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第13条 &amp; 第14条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规定了向数据主体提供信息的义务，包括数据跨境传输的相关信息。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审查SCC时需确认，数据输出方是否已履行了第13(1)(f)或14(1)(f)条规定的告知义务（即告知数据主体将使用SCC进行传输）。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实施决定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《欧盟委员会实施决定(EU) 2021/914》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全文，特别是《附件：标准合同条款》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该决定正式通过了2021版SCC的文本，并规定了其使用条件、法律效力及过渡期安排。附件包含了SCC的完整四模块文本：&lt;br&gt;• 模块一：控制者向控制者传输 (C2C)&lt;br&gt;• 模块二：控制者向处理者传输 (C2P)&lt;br&gt;• 模块三：处理者向处理者传输 (P2P)&lt;br&gt;• 模块四：处理者向控制者传输 (P2C)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这是SCC审查所依据的“合同范本”本身。 任何对SCC的审查，其核心都是将用户提交的合同文本与《附件》中的标准条款进行逐条比对，检查是否存在修改、遗漏或冲突。决定正文中的“鉴于”部分（Recitals）是解释SCC目的和关键概念（如“补充措施”、“第三国法律评估”）的重要依据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 监管机构指南与建议（解释与操作依据）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文件名/标准号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具体条文序号/章节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条文内容（摘要）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与SCC审查的关联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EDPB建议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《关于补充措施以确保向第三国传输数据符合欧盟数据保护水平的第01/2020号建议》（EDPB Recommendations 01/2020）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全文，特别是：&lt;br&gt;• 第II节：评估第三国法律影响的步骤&lt;br&gt;• 第III节：可考虑的补充措施类型（技术、合同、组织）&lt;br&gt;• 第IV节：针对不同情境的补充措施示例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该建议为数据输出方提供了在依赖SCC等工具进行跨境传输时，如何评估第三国法律对数据传输的影响，以及在必要时采取何种“补充措施”以确保达到欧盟基本等同保护水平的具体操作指南。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这是SCC审查中“第三国法律评估”和“补充措施”部分的黄金标准。 审查报告必须评估用户是否按照此建议的“六步法”进行了第三国法律影响评估，以及合同中约定的补充措施是否充分、有效。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EDPB指南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《关于GDPR第3条（地域范围）与第五章（数据跨境传输）之间相互作用的第05/2021号指南》（EDPB Guidelines 05/2021）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全文，特别是澄清了何种情形构成“传输”（transfer）以及GDPR第3条与第44条的关系。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该指南明确了数据跨境传输的法律定义，并解释了即使数据处理活动本身受GDPR管辖（根据第3条），向第三国的数据传输仍需遵守第五章的规定。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用于审查SCC的适用前提是否正确，即确认相关活动确实构成向不受GDPR直接管辖的实体的“传输”。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EDPB意见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《关于欧盟委员会向第三国传输个人数据标准合同条款实施决定的第2/2021号联合意见》（EDPB-EDPS Joint Opinion 2/2021）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欧洲数据保护委员会（EDPB）和欧洲数据保护监督局（EDPS）对2021版SCC草案的正式意见，其中包含了对SCC条款的解释和关注点。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作为理解SCC条款设计意图和监管机构期望的权威参考，特别是在数据主体权利、监管合作等方面。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欧盟委员会问答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《关于标准合同条款的常见问题（FAQ）》（European Commission FAQ on SCC）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不定期更新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欧盟委员会发布的关于SCC使用、签署、模块选择、过渡期等实践问题的官方解答。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解决SCC审查中遇到的常见操作性问题，如多方加入（docking clause）、模块选择错误等。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 关键司法判例（解释与风险警示依据）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文件名/标准号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判决要点/段落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内容（摘要）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与SCC审查的关联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欧盟法院判例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“Schrems II”案 (Case C-311/18)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判决书第93-101, 133-134, 142-146段等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无效化“隐私盾”：认定欧盟-美国隐私盾充分性决定无效。&lt;br&gt;2. 确认SCC有效性但附加严格条件：确认SCC本身可作为有效的传输工具，但数据输出方负有“尽职调查”义务，必须逐案评估第三国法律是否影响数据接收方履行SCC义务的能力。&lt;br&gt;3. 要求“补充措施”：如果评估发现第三国法律（如大规模监控法）可能妨碍SCC的履行，则必须采取额外的技术或组织“补充措施”来弥补保护水平的差距，否则必须暂停传输。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这是SCC审查中“第三国法律评估”和“补充措施”要求的最高法律渊源。 审查报告必须强调，单纯签署SCC并不足够，必须执行“Schrems II”判决要求的评估和补充措施步骤。报告需审查合同中是否体现了这一评估过程及结果。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欧盟法院判例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“Schrems I”案 (Case C-362/14)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相关段落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宣布“安全港”协议无效，确立了欧盟数据保护标准不因跨境传输而降低的原则。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为“Schrems II”案和欧盟严格的数据跨境传输监管哲学奠定基础，是理解当前严格审查背景的重要判例。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四、 其他相关文件（特定场景或补充依据）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文件名/标准号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与SCC审查的关联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欧盟委员会决定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《关于英国个人数据保护充分性的实施决定(EU) 2021/1772》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认定英国提供了与欧盟基本等同的数据保护水平。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当数据传输目的地为英国时，优先适用充分性决定而非SCC。审查时需首先确认传输目的地是否在欧盟充分性决定名单中。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EDPB指南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《关于在跨境传输背景下使用“有约束力的公司规则”（BCRs）和“标准合同条款”（SCCs）作为适当保障措施的第07/2022号指南（草案）》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进一步阐释BCRs和SCCs的实践应用。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作为理解SCC与BCRs区别和选择的参考。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8222">
    <w:lvl>
      <w:numFmt w:val="bullet"/>
      <w:suff w:val="tab"/>
      <w:lvlText w:val="•"/>
      <w:rPr>
        <w:color w:val="3370ff"/>
      </w:rPr>
    </w:lvl>
  </w:abstractNum>
  <w:abstractNum w:abstractNumId="78223">
    <w:lvl>
      <w:numFmt w:val="bullet"/>
      <w:suff w:val="tab"/>
      <w:lvlText w:val="•"/>
      <w:rPr>
        <w:color w:val="3370ff"/>
      </w:rPr>
    </w:lvl>
  </w:abstractNum>
  <w:abstractNum w:abstractNumId="78224">
    <w:lvl>
      <w:numFmt w:val="bullet"/>
      <w:suff w:val="tab"/>
      <w:lvlText w:val="￮"/>
      <w:rPr>
        <w:color w:val="3370ff"/>
      </w:rPr>
    </w:lvl>
  </w:abstractNum>
  <w:abstractNum w:abstractNumId="78225">
    <w:lvl>
      <w:numFmt w:val="bullet"/>
      <w:suff w:val="tab"/>
      <w:lvlText w:val="￮"/>
      <w:rPr>
        <w:color w:val="3370ff"/>
      </w:rPr>
    </w:lvl>
  </w:abstractNum>
  <w:abstractNum w:abstractNumId="78226">
    <w:lvl>
      <w:numFmt w:val="bullet"/>
      <w:suff w:val="tab"/>
      <w:lvlText w:val="￮"/>
      <w:rPr>
        <w:color w:val="3370ff"/>
      </w:rPr>
    </w:lvl>
  </w:abstractNum>
  <w:abstractNum w:abstractNumId="78227">
    <w:lvl>
      <w:numFmt w:val="bullet"/>
      <w:suff w:val="tab"/>
      <w:lvlText w:val="▪"/>
      <w:rPr>
        <w:color w:val="3370ff"/>
        <w:sz w:val="11"/>
      </w:rPr>
    </w:lvl>
  </w:abstractNum>
  <w:abstractNum w:abstractNumId="78228">
    <w:lvl>
      <w:numFmt w:val="bullet"/>
      <w:suff w:val="tab"/>
      <w:lvlText w:val="▪"/>
      <w:rPr>
        <w:color w:val="3370ff"/>
        <w:sz w:val="11"/>
      </w:rPr>
    </w:lvl>
  </w:abstractNum>
  <w:abstractNum w:abstractNumId="78229">
    <w:lvl>
      <w:numFmt w:val="bullet"/>
      <w:suff w:val="tab"/>
      <w:lvlText w:val="▪"/>
      <w:rPr>
        <w:color w:val="3370ff"/>
        <w:sz w:val="11"/>
      </w:rPr>
    </w:lvl>
  </w:abstractNum>
  <w:abstractNum w:abstractNumId="78230">
    <w:lvl>
      <w:numFmt w:val="bullet"/>
      <w:suff w:val="tab"/>
      <w:lvlText w:val="▪"/>
      <w:rPr>
        <w:color w:val="3370ff"/>
        <w:sz w:val="11"/>
      </w:rPr>
    </w:lvl>
  </w:abstractNum>
  <w:abstractNum w:abstractNumId="78231">
    <w:lvl>
      <w:numFmt w:val="bullet"/>
      <w:suff w:val="tab"/>
      <w:lvlText w:val="▪"/>
      <w:rPr>
        <w:color w:val="3370ff"/>
        <w:sz w:val="11"/>
      </w:rPr>
    </w:lvl>
  </w:abstractNum>
  <w:abstractNum w:abstractNumId="78232">
    <w:lvl>
      <w:numFmt w:val="bullet"/>
      <w:suff w:val="tab"/>
      <w:lvlText w:val="▪"/>
      <w:rPr>
        <w:color w:val="3370ff"/>
        <w:sz w:val="11"/>
      </w:rPr>
    </w:lvl>
  </w:abstractNum>
  <w:num w:numId="1">
    <w:abstractNumId w:val="78222"/>
  </w:num>
  <w:num w:numId="2">
    <w:abstractNumId w:val="78223"/>
  </w:num>
  <w:num w:numId="3">
    <w:abstractNumId w:val="78224"/>
  </w:num>
  <w:num w:numId="4">
    <w:abstractNumId w:val="78225"/>
  </w:num>
  <w:num w:numId="5">
    <w:abstractNumId w:val="78226"/>
  </w:num>
  <w:num w:numId="6">
    <w:abstractNumId w:val="78227"/>
  </w:num>
  <w:num w:numId="7">
    <w:abstractNumId w:val="78228"/>
  </w:num>
  <w:num w:numId="8">
    <w:abstractNumId w:val="78229"/>
  </w:num>
  <w:num w:numId="9">
    <w:abstractNumId w:val="78230"/>
  </w:num>
  <w:num w:numId="10">
    <w:abstractNumId w:val="78231"/>
  </w:num>
  <w:num w:numId="11">
    <w:abstractNumId w:val="782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2026-05-30T05:13:37Z</dcterms:created>
  <dc:creator>Apache POI</dc:creator>
</cp:coreProperties>
</file>