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“TIA草案生成”功能说明与路径描述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用户输入：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系统输出：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[TIA - Template.docx]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输入输出依据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输入依据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为TIA模板内容，已在输入列表中标注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输出依据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 xml:space="preserve">“TIA草案生成”功能输出依据清单 </w:t>
      </w:r>
      <w:bookmarkEnd w:id="5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 xml:space="preserve">依据文件与系统输出逻辑的映射 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系统根据上述依据，将您的输入项转化为结构化的TIA草案和风险提示：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“1. 了解您的传输”模块</w:t>
      </w:r>
      <w:r>
        <w:rPr>
          <w:rFonts w:eastAsia="等线" w:ascii="Arial" w:cs="Arial" w:hAnsi="Arial"/>
          <w:sz w:val="22"/>
        </w:rPr>
        <w:t xml:space="preserve">：依据 </w:t>
      </w:r>
      <w:r>
        <w:rPr>
          <w:rFonts w:eastAsia="等线" w:ascii="Arial" w:cs="Arial" w:hAnsi="Arial"/>
          <w:b w:val="true"/>
          <w:sz w:val="22"/>
        </w:rPr>
        <w:t>EDPB Recommendations 01/2020 步骤1</w:t>
      </w:r>
      <w:r>
        <w:rPr>
          <w:rFonts w:eastAsia="等线" w:ascii="Arial" w:cs="Arial" w:hAnsi="Arial"/>
          <w:sz w:val="22"/>
        </w:rPr>
        <w:t>。这是评估的起点，确保全面理解传输场景。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“2. 识别所用传输工具”模块</w:t>
      </w:r>
      <w:r>
        <w:rPr>
          <w:rFonts w:eastAsia="等线" w:ascii="Arial" w:cs="Arial" w:hAnsi="Arial"/>
          <w:sz w:val="22"/>
        </w:rPr>
        <w:t xml:space="preserve">：依据 </w:t>
      </w:r>
      <w:r>
        <w:rPr>
          <w:rFonts w:eastAsia="等线" w:ascii="Arial" w:cs="Arial" w:hAnsi="Arial"/>
          <w:b w:val="true"/>
          <w:sz w:val="22"/>
        </w:rPr>
        <w:t>GDPR第46条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EDPB Recommendations 01/2020 步骤2</w:t>
      </w:r>
      <w:r>
        <w:rPr>
          <w:rFonts w:eastAsia="等线" w:ascii="Arial" w:cs="Arial" w:hAnsi="Arial"/>
          <w:sz w:val="22"/>
        </w:rPr>
        <w:t xml:space="preserve">，并关联 </w:t>
      </w:r>
      <w:r>
        <w:rPr>
          <w:rFonts w:eastAsia="等线" w:ascii="Arial" w:cs="Arial" w:hAnsi="Arial"/>
          <w:b w:val="true"/>
          <w:sz w:val="22"/>
        </w:rPr>
        <w:t>(EU) 2021/914 SCCs</w:t>
      </w:r>
      <w:r>
        <w:rPr>
          <w:rFonts w:eastAsia="等线" w:ascii="Arial" w:cs="Arial" w:hAnsi="Arial"/>
          <w:sz w:val="22"/>
        </w:rPr>
        <w:t xml:space="preserve"> 中的相关保证条款。系统自动判断是否需要TIA（使用SCCs/BCRs则必须进行）。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“3. 评估目的地法律与实践”模块</w:t>
      </w:r>
      <w:r>
        <w:rPr>
          <w:rFonts w:eastAsia="等线" w:ascii="Arial" w:cs="Arial" w:hAnsi="Arial"/>
          <w:sz w:val="22"/>
        </w:rPr>
        <w:t xml:space="preserve">：依据 </w:t>
      </w:r>
      <w:r>
        <w:rPr>
          <w:rFonts w:eastAsia="等线" w:ascii="Arial" w:cs="Arial" w:hAnsi="Arial"/>
          <w:b w:val="true"/>
          <w:sz w:val="22"/>
        </w:rPr>
        <w:t>“Schrems II”案判决原则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EDPB Recommendations 01/2020 步骤3</w:t>
      </w:r>
      <w:r>
        <w:rPr>
          <w:rFonts w:eastAsia="等线" w:ascii="Arial" w:cs="Arial" w:hAnsi="Arial"/>
          <w:sz w:val="22"/>
        </w:rPr>
        <w:t>。这是TIA的核心，评估传输工具在特定法律环境下的“有效性”。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“4. 识别补充措施”与“5. 实施步骤与意见”模块</w:t>
      </w:r>
      <w:r>
        <w:rPr>
          <w:rFonts w:eastAsia="等线" w:ascii="Arial" w:cs="Arial" w:hAnsi="Arial"/>
          <w:sz w:val="22"/>
        </w:rPr>
        <w:t xml:space="preserve">：依据 </w:t>
      </w:r>
      <w:r>
        <w:rPr>
          <w:rFonts w:eastAsia="等线" w:ascii="Arial" w:cs="Arial" w:hAnsi="Arial"/>
          <w:b w:val="true"/>
          <w:sz w:val="22"/>
        </w:rPr>
        <w:t>EDPB Recommendations 01/2020 步骤4和步骤5</w:t>
      </w:r>
      <w:r>
        <w:rPr>
          <w:rFonts w:eastAsia="等线" w:ascii="Arial" w:cs="Arial" w:hAnsi="Arial"/>
          <w:sz w:val="22"/>
        </w:rPr>
        <w:t>。如果步骤3评估发现风险，则必须识别并实施技术性（如加密）、合同性（如额外条款）或组织性（如内部政策）的补充措施，并完成必要的程序（如修改合同）。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“6. 定期复审”模块</w:t>
      </w:r>
      <w:r>
        <w:rPr>
          <w:rFonts w:eastAsia="等线" w:ascii="Arial" w:cs="Arial" w:hAnsi="Arial"/>
          <w:sz w:val="22"/>
        </w:rPr>
        <w:t xml:space="preserve">：依据 </w:t>
      </w:r>
      <w:r>
        <w:rPr>
          <w:rFonts w:eastAsia="等线" w:ascii="Arial" w:cs="Arial" w:hAnsi="Arial"/>
          <w:b w:val="true"/>
          <w:sz w:val="22"/>
        </w:rPr>
        <w:t>EDPB Recommendations 01/2020 步骤6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GDPR的持续合规要求</w:t>
      </w:r>
      <w:r>
        <w:rPr>
          <w:rFonts w:eastAsia="等线" w:ascii="Arial" w:cs="Arial" w:hAnsi="Arial"/>
          <w:sz w:val="22"/>
        </w:rPr>
        <w:t>。TIA不是一次性的，需要定期更新。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生成草案的逻辑和风险提示</w:t>
      </w:r>
      <w:r>
        <w:rPr>
          <w:rFonts w:eastAsia="等线" w:ascii="Arial" w:cs="Arial" w:hAnsi="Arial"/>
          <w:sz w:val="22"/>
        </w:rPr>
        <w:t>：逻辑流程严格遵循EDPB的“六步法”。风险提示则基于：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目的地国法律风险</w:t>
      </w:r>
      <w:r>
        <w:rPr>
          <w:rFonts w:eastAsia="等线" w:ascii="Arial" w:cs="Arial" w:hAnsi="Arial"/>
          <w:sz w:val="22"/>
        </w:rPr>
        <w:t>：参考各DPA指南，对特定国家（如美国、中国）的法律环境进行通用风险提示（例如，提示美国FISA 702条款和EO 12333可能带来的政府访问风险）。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数据传输性质风险</w:t>
      </w:r>
      <w:r>
        <w:rPr>
          <w:rFonts w:eastAsia="等线" w:ascii="Arial" w:cs="Arial" w:hAnsi="Arial"/>
          <w:sz w:val="22"/>
        </w:rPr>
        <w:t>：根据输入的数据类别（是否敏感）、数据主体（是否弱势群体）、传输频率等，评估风险等级。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补充措施充分性风险</w:t>
      </w:r>
      <w:r>
        <w:rPr>
          <w:rFonts w:eastAsia="等线" w:ascii="Arial" w:cs="Arial" w:hAnsi="Arial"/>
          <w:sz w:val="22"/>
        </w:rPr>
        <w:t>：判断已计划的措施是否足以应对已识别的法律风险（例如，仅合同措施可能不足以应对系统性政府监控）。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11445">
    <w:lvl>
      <w:start w:val="1"/>
      <w:numFmt w:val="decimal"/>
      <w:suff w:val="tab"/>
      <w:lvlText w:val="%1."/>
      <w:rPr>
        <w:color w:val="3370ff"/>
      </w:rPr>
    </w:lvl>
  </w:abstractNum>
  <w:abstractNum w:abstractNumId="1311446">
    <w:lvl>
      <w:start w:val="2"/>
      <w:numFmt w:val="decimal"/>
      <w:suff w:val="tab"/>
      <w:lvlText w:val="%1."/>
      <w:rPr>
        <w:color w:val="3370ff"/>
      </w:rPr>
    </w:lvl>
  </w:abstractNum>
  <w:abstractNum w:abstractNumId="1311447">
    <w:lvl>
      <w:start w:val="3"/>
      <w:numFmt w:val="decimal"/>
      <w:suff w:val="tab"/>
      <w:lvlText w:val="%1."/>
      <w:rPr>
        <w:color w:val="3370ff"/>
      </w:rPr>
    </w:lvl>
  </w:abstractNum>
  <w:abstractNum w:abstractNumId="1311448">
    <w:lvl>
      <w:start w:val="4"/>
      <w:numFmt w:val="decimal"/>
      <w:suff w:val="tab"/>
      <w:lvlText w:val="%1."/>
      <w:rPr>
        <w:color w:val="3370ff"/>
      </w:rPr>
    </w:lvl>
  </w:abstractNum>
  <w:abstractNum w:abstractNumId="1311449">
    <w:lvl>
      <w:start w:val="5"/>
      <w:numFmt w:val="decimal"/>
      <w:suff w:val="tab"/>
      <w:lvlText w:val="%1."/>
      <w:rPr>
        <w:color w:val="3370ff"/>
      </w:rPr>
    </w:lvl>
  </w:abstractNum>
  <w:abstractNum w:abstractNumId="1311450">
    <w:lvl>
      <w:start w:val="6"/>
      <w:numFmt w:val="decimal"/>
      <w:suff w:val="tab"/>
      <w:lvlText w:val="%1."/>
      <w:rPr>
        <w:color w:val="3370ff"/>
      </w:rPr>
    </w:lvl>
  </w:abstractNum>
  <w:abstractNum w:abstractNumId="1311451">
    <w:lvl>
      <w:numFmt w:val="bullet"/>
      <w:suff w:val="tab"/>
      <w:lvlText w:val="￮"/>
      <w:rPr>
        <w:color w:val="3370ff"/>
      </w:rPr>
    </w:lvl>
  </w:abstractNum>
  <w:abstractNum w:abstractNumId="1311452">
    <w:lvl>
      <w:numFmt w:val="bullet"/>
      <w:suff w:val="tab"/>
      <w:lvlText w:val="￮"/>
      <w:rPr>
        <w:color w:val="3370ff"/>
      </w:rPr>
    </w:lvl>
  </w:abstractNum>
  <w:abstractNum w:abstractNumId="1311453">
    <w:lvl>
      <w:numFmt w:val="bullet"/>
      <w:suff w:val="tab"/>
      <w:lvlText w:val="￮"/>
      <w:rPr>
        <w:color w:val="3370ff"/>
      </w:rPr>
    </w:lvl>
  </w:abstractNum>
  <w:num w:numId="1">
    <w:abstractNumId w:val="1311445"/>
  </w:num>
  <w:num w:numId="2">
    <w:abstractNumId w:val="1311446"/>
  </w:num>
  <w:num w:numId="3">
    <w:abstractNumId w:val="1311447"/>
  </w:num>
  <w:num w:numId="4">
    <w:abstractNumId w:val="1311448"/>
  </w:num>
  <w:num w:numId="5">
    <w:abstractNumId w:val="1311449"/>
  </w:num>
  <w:num w:numId="6">
    <w:abstractNumId w:val="1311450"/>
  </w:num>
  <w:num w:numId="7">
    <w:abstractNumId w:val="1311451"/>
  </w:num>
  <w:num w:numId="8">
    <w:abstractNumId w:val="1311452"/>
  </w:num>
  <w:num w:numId="9">
    <w:abstractNumId w:val="131145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numbering.xml" Type="http://schemas.openxmlformats.org/officeDocument/2006/relationships/numbering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2026-05-30T05:58:53Z</dcterms:created>
  <dc:creator>Apache POI</dc:creator>
</cp:coreProperties>
</file>