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“CPRA合规”测试案例及预期输出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测试案例一：典型电商平台“</w:t>
      </w:r>
      <w:r>
        <w:rPr>
          <w:rFonts w:eastAsia="等线" w:ascii="Arial" w:cs="Arial" w:hAnsi="Arial"/>
          <w:b w:val="true"/>
          <w:sz w:val="30"/>
        </w:rPr>
        <w:t>TrendyGoods.com</w:t>
      </w:r>
      <w:r>
        <w:rPr>
          <w:rFonts w:eastAsia="等线" w:ascii="Arial" w:cs="Arial" w:hAnsi="Arial"/>
          <w:b w:val="true"/>
          <w:sz w:val="30"/>
        </w:rPr>
        <w:t xml:space="preserve">”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：“TrendyGoods Inc.”是一家总部位于加州，年收入约3000万美元的线上时尚零售商，其网站和移动应用向消费者直接销售商品。公司通过分析用户行为进行个性化推荐，并使用第三方广告服务。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预期输出（《加州CPRA合规全景报告》核心内容）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执行摘要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总体合规评级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部分缺失</w:t>
      </w:r>
      <w:r>
        <w:rPr>
          <w:rFonts w:eastAsia="等线" w:ascii="Arial" w:cs="Arial" w:hAnsi="Arial"/>
          <w:sz w:val="22"/>
        </w:rPr>
        <w:t>。企业受CPRA管辖，已建立基本DSR框架，但在“选择退出”机制、隐私通知细节和UI设计上存在</w:t>
      </w:r>
      <w:r>
        <w:rPr>
          <w:rFonts w:eastAsia="等线" w:ascii="Arial" w:cs="Arial" w:hAnsi="Arial"/>
          <w:b w:val="true"/>
          <w:sz w:val="22"/>
        </w:rPr>
        <w:t>中高风险</w:t>
      </w:r>
      <w:r>
        <w:rPr>
          <w:rFonts w:eastAsia="等线" w:ascii="Arial" w:cs="Arial" w:hAnsi="Arial"/>
          <w:sz w:val="22"/>
        </w:rPr>
        <w:t>漏洞。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：1) “选择退出出售/共享”链接不符合法规格式要求；2) 与广告合作伙伴的数据共享安排未在合同中明确其CPRA义务；3) Cookie同意横幅存在“暗模式”风险。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第一章：企业适用性与范围</w:t>
      </w:r>
      <w:r>
        <w:rPr>
          <w:rFonts w:eastAsia="等线" w:ascii="Arial" w:cs="Arial" w:hAnsi="Arial"/>
          <w:sz w:val="22"/>
        </w:rPr>
        <w:t>：确认公司因年收入超2500万美元而受CPRA管辖。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第二章：数据处理活动合规分析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数据映射</w:t>
      </w:r>
      <w:r>
        <w:rPr>
          <w:rFonts w:eastAsia="等线" w:ascii="Arial" w:cs="Arial" w:hAnsi="Arial"/>
          <w:sz w:val="22"/>
        </w:rPr>
        <w:t>：可视化展示数据流。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合法性基础</w:t>
      </w:r>
      <w:r>
        <w:rPr>
          <w:rFonts w:eastAsia="等线" w:ascii="Arial" w:cs="Arial" w:hAnsi="Arial"/>
          <w:sz w:val="22"/>
        </w:rPr>
        <w:t>：基本合理。但指出“合法商业利益”用于内部数据分析需进行平衡测试，并应在隐私政策中说明。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留存期限</w:t>
      </w:r>
      <w:r>
        <w:rPr>
          <w:rFonts w:eastAsia="等线" w:ascii="Arial" w:cs="Arial" w:hAnsi="Arial"/>
          <w:sz w:val="22"/>
        </w:rPr>
        <w:t>：交易记录留存7年基于税务要求，是合理的。但需评估13个月的浏览日志留存是否必要。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第三章：消费者权利保障评估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DSR机制</w:t>
      </w:r>
      <w:r>
        <w:rPr>
          <w:rFonts w:eastAsia="等线" w:ascii="Arial" w:cs="Arial" w:hAnsi="Arial"/>
          <w:sz w:val="22"/>
        </w:rPr>
        <w:t>：在线表单和邮箱渠道符合要求，但</w:t>
      </w:r>
      <w:r>
        <w:rPr>
          <w:rFonts w:eastAsia="等线" w:ascii="Arial" w:cs="Arial" w:hAnsi="Arial"/>
          <w:b w:val="true"/>
          <w:sz w:val="22"/>
        </w:rPr>
        <w:t>缺少一种法定要求的“免费电话”</w:t>
      </w:r>
      <w:r>
        <w:rPr>
          <w:rFonts w:eastAsia="等线" w:ascii="Arial" w:cs="Arial" w:hAnsi="Arial"/>
          <w:sz w:val="22"/>
        </w:rPr>
        <w:t>提交方式。验证方法和SLA良好。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差距与建议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必须增加</w:t>
      </w:r>
      <w:r>
        <w:rPr>
          <w:rFonts w:eastAsia="等线" w:ascii="Arial" w:cs="Arial" w:hAnsi="Arial"/>
          <w:sz w:val="22"/>
        </w:rPr>
        <w:t>一个免费电话号码用于提交DSR请求。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第四章：敏感信息与第三方管理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SPI使用</w:t>
      </w:r>
      <w:r>
        <w:rPr>
          <w:rFonts w:eastAsia="等线" w:ascii="Arial" w:cs="Arial" w:hAnsi="Arial"/>
          <w:sz w:val="22"/>
        </w:rPr>
        <w:t>：精确位置用于附近门店功能，符合“提供服务合理必要”的范围。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数据出售/共享风险评估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高风险</w:t>
      </w:r>
      <w:r>
        <w:rPr>
          <w:rFonts w:eastAsia="等线" w:ascii="Arial" w:cs="Arial" w:hAnsi="Arial"/>
          <w:sz w:val="22"/>
        </w:rPr>
        <w:t>。与广告网络共享数据构成CPRA下的“分享/出售”。当前合同未明确要求第三方尊重消费者的“全局选择退出”信号，存在违规风险。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“暗模式”扫描结果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中高风险</w:t>
      </w:r>
      <w:r>
        <w:rPr>
          <w:rFonts w:eastAsia="等线" w:ascii="Arial" w:cs="Arial" w:hAnsi="Arial"/>
          <w:sz w:val="22"/>
        </w:rPr>
        <w:t>。Cookie横幅未提供同等突出的“拒绝所有”选项，增加了用户同意的难度。页脚的“选择退出”链接未使用法规要求的</w:t>
      </w:r>
      <w:r>
        <w:rPr>
          <w:rFonts w:eastAsia="等线" w:ascii="Arial" w:cs="Arial" w:hAnsi="Arial"/>
          <w:b w:val="true"/>
          <w:sz w:val="22"/>
        </w:rPr>
        <w:t>三角图标和“请勿出售或分享我的个人信息”的标准化文字链接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第五章：行动清单与优先级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：1) 立即修改页脚“选择退出”链接，使用CPPA规定的标准化格式（图标+文字）。2) 修订与AdNetwork Alpha/Beta的合同，加入其必须遵守消费者“选择退出”指令的条款。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：3) 增设免费电话DSR渠道。4) 重新设计Cookie同意横幅，将“拒绝所有”按钮与“接受所有”并置，同等显著。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低</w:t>
      </w:r>
      <w:r>
        <w:rPr>
          <w:rFonts w:eastAsia="等线" w:ascii="Arial" w:cs="Arial" w:hAnsi="Arial"/>
          <w:sz w:val="22"/>
        </w:rPr>
        <w:t>：5) 在隐私政策中补充“合法商业利益”平衡测试的说明。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测试案例二：SaaS企业“DataFlow Analytics”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：“DataFlow Analytics LLC”是一家为中小企业提供数据看板服务的SaaS公司，年收入约1800万美元。其客户（其他企业）将他们的业务数据上传至DataFlow平台进行分析。DataFlow本身不直接面向加州消费者，但其客户的数据中可能包含其员工的个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预期输出（《加州CPRA合规全景报告》核心内容）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执行摘要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总体合规评级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适用性待定，角色混淆风险</w:t>
      </w:r>
      <w:r>
        <w:rPr>
          <w:rFonts w:eastAsia="等线" w:ascii="Arial" w:cs="Arial" w:hAnsi="Arial"/>
          <w:sz w:val="22"/>
        </w:rPr>
        <w:t>。企业的CPRA适用性</w:t>
      </w:r>
      <w:r>
        <w:rPr>
          <w:rFonts w:eastAsia="等线" w:ascii="Arial" w:cs="Arial" w:hAnsi="Arial"/>
          <w:b w:val="true"/>
          <w:sz w:val="22"/>
        </w:rPr>
        <w:t>很可能成立</w:t>
      </w:r>
      <w:r>
        <w:rPr>
          <w:rFonts w:eastAsia="等线" w:ascii="Arial" w:cs="Arial" w:hAnsi="Arial"/>
          <w:sz w:val="22"/>
        </w:rPr>
        <w:t>（因“处理”超10万消费者个人信息）。其“服务提供商”自我定位正确，但需严格履行该角色下的法定义务。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：企业</w:t>
      </w:r>
      <w:r>
        <w:rPr>
          <w:rFonts w:eastAsia="等线" w:ascii="Arial" w:cs="Arial" w:hAnsi="Arial"/>
          <w:b w:val="true"/>
          <w:sz w:val="22"/>
        </w:rPr>
        <w:t>错误地认为自己完全不受CPRA约束</w:t>
      </w:r>
      <w:r>
        <w:rPr>
          <w:rFonts w:eastAsia="等线" w:ascii="Arial" w:cs="Arial" w:hAnsi="Arial"/>
          <w:sz w:val="22"/>
        </w:rPr>
        <w:t>，忽略了作为“处理者”对控制者（其客户）的合同义务，以及自身可能因数据处理规模而成为“企业”被直接管辖。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第一章：企业适用性与范围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：虽然年收入未达标，但根据CPRA §1798.140(d)，“企业”包括单独或与他人共同决定处理目的和方式的实体。DataFlow作为“服务提供商”通常不是企业。</w:t>
      </w:r>
      <w:r>
        <w:rPr>
          <w:rFonts w:eastAsia="等线" w:ascii="Arial" w:cs="Arial" w:hAnsi="Arial"/>
          <w:b w:val="true"/>
          <w:sz w:val="22"/>
        </w:rPr>
        <w:t>但是</w:t>
      </w:r>
      <w:r>
        <w:rPr>
          <w:rFonts w:eastAsia="等线" w:ascii="Arial" w:cs="Arial" w:hAnsi="Arial"/>
          <w:sz w:val="22"/>
        </w:rPr>
        <w:t>，CPRA的管辖权还有第二个门槛：每年</w:t>
      </w:r>
      <w:r>
        <w:rPr>
          <w:rFonts w:eastAsia="等线" w:ascii="Arial" w:cs="Arial" w:hAnsi="Arial"/>
          <w:b w:val="true"/>
          <w:sz w:val="22"/>
        </w:rPr>
        <w:t>单独或为他人</w:t>
      </w:r>
      <w:r>
        <w:rPr>
          <w:rFonts w:eastAsia="等线" w:ascii="Arial" w:cs="Arial" w:hAnsi="Arial"/>
          <w:sz w:val="22"/>
        </w:rPr>
        <w:t>处理或共享10万以上</w:t>
      </w:r>
      <w:r>
        <w:rPr>
          <w:rFonts w:eastAsia="等线" w:ascii="Arial" w:cs="Arial" w:hAnsi="Arial"/>
          <w:b w:val="true"/>
          <w:sz w:val="22"/>
        </w:rPr>
        <w:t>消费者或家庭</w:t>
      </w:r>
      <w:r>
        <w:rPr>
          <w:rFonts w:eastAsia="等线" w:ascii="Arial" w:cs="Arial" w:hAnsi="Arial"/>
          <w:sz w:val="22"/>
        </w:rPr>
        <w:t>的个人信息。DataFlow处理其客户上传的数据，</w:t>
      </w:r>
      <w:r>
        <w:rPr>
          <w:rFonts w:eastAsia="等线" w:ascii="Arial" w:cs="Arial" w:hAnsi="Arial"/>
          <w:b w:val="true"/>
          <w:sz w:val="22"/>
        </w:rPr>
        <w:t>极有可能超过此门槛</w:t>
      </w:r>
      <w:r>
        <w:rPr>
          <w:rFonts w:eastAsia="等线" w:ascii="Arial" w:cs="Arial" w:hAnsi="Arial"/>
          <w:sz w:val="22"/>
        </w:rPr>
        <w:t>，因此</w:t>
      </w:r>
      <w:r>
        <w:rPr>
          <w:rFonts w:eastAsia="等线" w:ascii="Arial" w:cs="Arial" w:hAnsi="Arial"/>
          <w:b w:val="true"/>
          <w:sz w:val="22"/>
        </w:rPr>
        <w:t>仍受CPRA管辖</w:t>
      </w:r>
      <w:r>
        <w:rPr>
          <w:rFonts w:eastAsia="等线" w:ascii="Arial" w:cs="Arial" w:hAnsi="Arial"/>
          <w:sz w:val="22"/>
        </w:rPr>
        <w:t>，负有直接义务（如与客户签订CPRA合规合同、自身安全保障等）。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受CPRA管辖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第二章：数据处理活动合规分析</w:t>
      </w:r>
      <w:r>
        <w:rPr>
          <w:rFonts w:eastAsia="等线" w:ascii="Arial" w:cs="Arial" w:hAnsi="Arial"/>
          <w:sz w:val="22"/>
        </w:rPr>
        <w:t>：肯定其“服务提供商”角色和合同履行的合法性基础。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第三章：消费者权利保障评估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：作为服务提供商，DataFlow</w:t>
      </w:r>
      <w:r>
        <w:rPr>
          <w:rFonts w:eastAsia="等线" w:ascii="Arial" w:cs="Arial" w:hAnsi="Arial"/>
          <w:b w:val="true"/>
          <w:sz w:val="22"/>
        </w:rPr>
        <w:t>无义务</w:t>
      </w:r>
      <w:r>
        <w:rPr>
          <w:rFonts w:eastAsia="等线" w:ascii="Arial" w:cs="Arial" w:hAnsi="Arial"/>
          <w:sz w:val="22"/>
        </w:rPr>
        <w:t>直接面向消费者建立DSR渠道，这是其客户（控制者）的责任。但其内部流程必须能够</w:t>
      </w:r>
      <w:r>
        <w:rPr>
          <w:rFonts w:eastAsia="等线" w:ascii="Arial" w:cs="Arial" w:hAnsi="Arial"/>
          <w:b w:val="true"/>
          <w:sz w:val="22"/>
        </w:rPr>
        <w:t>协助</w:t>
      </w:r>
      <w:r>
        <w:rPr>
          <w:rFonts w:eastAsia="等线" w:ascii="Arial" w:cs="Arial" w:hAnsi="Arial"/>
          <w:sz w:val="22"/>
        </w:rPr>
        <w:t>客户履行DSR义务（如执行删除指令）。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差距与建议</w:t>
      </w:r>
      <w:r>
        <w:rPr>
          <w:rFonts w:eastAsia="等线" w:ascii="Arial" w:cs="Arial" w:hAnsi="Arial"/>
          <w:sz w:val="22"/>
        </w:rPr>
        <w:t>：确保与每一位客户签订的《数据处理协议》包含CPRA §1798.100所要求的强制性条款（如禁止出售数据、协助响应DSR、允许审计等）。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第五章：行动清单与优先级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：1) 重新评估并确认年处理数据量，明确CPRA管辖状态。2) 立即审查并更新所有客户合同，纳入完整的CPRA“服务提供商”条款。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</w:t>
      </w:r>
      <w:r>
        <w:rPr>
          <w:rFonts w:eastAsia="等线" w:ascii="Arial" w:cs="Arial" w:hAnsi="Arial"/>
          <w:sz w:val="22"/>
        </w:rPr>
        <w:t>：3) 建立内部流程，确保能有效协助客户响应DSR。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测试案例三：高风险健康科技“FitLife AI”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：“FitLife AI Inc.”开发一款智能健身APP，通过手机传感器和可穿戴设备收集用户的健康、生物特征和精确位置数据，提供个性化健身指导和健康风险预测，并向用户推荐保健品和保险产品。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预期输出（《加州CPRA合规全景报告》核心内容）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执行摘要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总体合规评级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高风险</w:t>
      </w:r>
      <w:r>
        <w:rPr>
          <w:rFonts w:eastAsia="等线" w:ascii="Arial" w:cs="Arial" w:hAnsi="Arial"/>
          <w:sz w:val="22"/>
        </w:rPr>
        <w:t>。企业在多个核心领域存在严重违规，极可能引发监管调查和集体诉讼。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：1) 通过</w:t>
      </w:r>
      <w:r>
        <w:rPr>
          <w:rFonts w:eastAsia="等线" w:ascii="Arial" w:cs="Arial" w:hAnsi="Arial"/>
          <w:b w:val="true"/>
          <w:sz w:val="22"/>
        </w:rPr>
        <w:t>暗模式</w:t>
      </w:r>
      <w:r>
        <w:rPr>
          <w:rFonts w:eastAsia="等线" w:ascii="Arial" w:cs="Arial" w:hAnsi="Arial"/>
          <w:sz w:val="22"/>
        </w:rPr>
        <w:t>获取对处理高度敏感健康信息的同意；2) 在</w:t>
      </w:r>
      <w:r>
        <w:rPr>
          <w:rFonts w:eastAsia="等线" w:ascii="Arial" w:cs="Arial" w:hAnsi="Arial"/>
          <w:b w:val="true"/>
          <w:sz w:val="22"/>
        </w:rPr>
        <w:t>未提供有效“选择退出”机制</w:t>
      </w:r>
      <w:r>
        <w:rPr>
          <w:rFonts w:eastAsia="等线" w:ascii="Arial" w:cs="Arial" w:hAnsi="Arial"/>
          <w:sz w:val="22"/>
        </w:rPr>
        <w:t>的情况下，向第三方出售/共享敏感健康衍生数据；3) 未提供</w:t>
      </w:r>
      <w:r>
        <w:rPr>
          <w:rFonts w:eastAsia="等线" w:ascii="Arial" w:cs="Arial" w:hAnsi="Arial"/>
          <w:b w:val="true"/>
          <w:sz w:val="22"/>
        </w:rPr>
        <w:t>限制敏感信息使用</w:t>
      </w:r>
      <w:r>
        <w:rPr>
          <w:rFonts w:eastAsia="等线" w:ascii="Arial" w:cs="Arial" w:hAnsi="Arial"/>
          <w:sz w:val="22"/>
        </w:rPr>
        <w:t>的权利行使渠道；4) DSR渠道难以访问。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第二章：数据处理活动合规分析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合法性基础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无效</w:t>
      </w:r>
      <w:r>
        <w:rPr>
          <w:rFonts w:eastAsia="等线" w:ascii="Arial" w:cs="Arial" w:hAnsi="Arial"/>
          <w:sz w:val="22"/>
        </w:rPr>
        <w:t>。处理敏感健康信息（SPI）所依赖的“同意”是通过暗模式获得的（捆绑同意、不平等设计），不符合CPPA条例§7004关于“自愿、明确、知情”同意的要求。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第三章：消费者权利保障评估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DSR机制</w:t>
      </w:r>
      <w:r>
        <w:rPr>
          <w:rFonts w:eastAsia="等线" w:ascii="Arial" w:cs="Arial" w:hAnsi="Arial"/>
          <w:sz w:val="22"/>
        </w:rPr>
        <w:t>：渠道隐匿，不符合“易于使用”的要求。</w:t>
      </w:r>
      <w:r>
        <w:rPr>
          <w:rFonts w:eastAsia="等线" w:ascii="Arial" w:cs="Arial" w:hAnsi="Arial"/>
          <w:b w:val="true"/>
          <w:sz w:val="22"/>
        </w:rPr>
        <w:t>完全缺失</w:t>
      </w:r>
      <w:r>
        <w:rPr>
          <w:rFonts w:eastAsia="等线" w:ascii="Arial" w:cs="Arial" w:hAnsi="Arial"/>
          <w:sz w:val="22"/>
        </w:rPr>
        <w:t>“限制敏感信息使用”的权利行使途径。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第四章：敏感信息与第三方管理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SPI使用合规性</w:t>
      </w:r>
      <w:r>
        <w:rPr>
          <w:rFonts w:eastAsia="等线" w:ascii="Arial" w:cs="Arial" w:hAnsi="Arial"/>
          <w:sz w:val="22"/>
        </w:rPr>
        <w:t>：将健康数据用于个性化健身是合理的，但用于向第三方营销</w:t>
      </w:r>
      <w:r>
        <w:rPr>
          <w:rFonts w:eastAsia="等线" w:ascii="Arial" w:cs="Arial" w:hAnsi="Arial"/>
          <w:b w:val="true"/>
          <w:sz w:val="22"/>
        </w:rPr>
        <w:t>严重超出“收集目的所必需”的范围</w:t>
      </w:r>
      <w:r>
        <w:rPr>
          <w:rFonts w:eastAsia="等线" w:ascii="Arial" w:cs="Arial" w:hAnsi="Arial"/>
          <w:sz w:val="22"/>
        </w:rPr>
        <w:t>，侵犯了消费者根据CPRA §1798.121限制其使用的权利。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数据出售/共享风险评估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极高风险</w:t>
      </w:r>
      <w:r>
        <w:rPr>
          <w:rFonts w:eastAsia="等线" w:ascii="Arial" w:cs="Arial" w:hAnsi="Arial"/>
          <w:sz w:val="22"/>
        </w:rPr>
        <w:t>。共享健康衍生数据构成“出售/共享”，且未提供</w:t>
      </w:r>
      <w:r>
        <w:rPr>
          <w:rFonts w:eastAsia="等线" w:ascii="Arial" w:cs="Arial" w:hAnsi="Arial"/>
          <w:b w:val="true"/>
          <w:sz w:val="22"/>
        </w:rPr>
        <w:t>清晰醒目的“选择退出”链接</w:t>
      </w:r>
      <w:r>
        <w:rPr>
          <w:rFonts w:eastAsia="等线" w:ascii="Arial" w:cs="Arial" w:hAnsi="Arial"/>
          <w:sz w:val="22"/>
        </w:rPr>
        <w:t>，也未在共享前获得有效的“选择加入”同意（16岁以下）或提供“选择退出”机会（16岁以上）。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“暗模式”扫描结果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确认存在暗模式</w:t>
      </w:r>
      <w:r>
        <w:rPr>
          <w:rFonts w:eastAsia="等线" w:ascii="Arial" w:cs="Arial" w:hAnsi="Arial"/>
          <w:sz w:val="22"/>
        </w:rPr>
        <w:t>。注册界面设计胁迫用户同意，违反了CPRA禁止使用损害用户自主选择权的界面的规定。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第五章：行动清单与优先级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紧急</w:t>
      </w:r>
      <w:r>
        <w:rPr>
          <w:rFonts w:eastAsia="等线" w:ascii="Arial" w:cs="Arial" w:hAnsi="Arial"/>
          <w:sz w:val="22"/>
        </w:rPr>
        <w:t>：1) 立即停止向HealthSupps和QuickInsure共享任何用户数据。2) 彻底重写用户注册/同意流程，确保对数据处理（特别是敏感信息）获得自由、明确、知情的选择加入同意。3) 在APP首页和隐私政策显著位置，添加符合法规的“请勿出售或分享我的个人信息”链接和“限制敏感信息使用”功能入口。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：4) 建立便捷、多样的DSR提交渠道（电话、网页表单、邮箱）。5) 修订与所有第三方的合同，加入严格的CPRA合规条款。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2550">
    <w:lvl>
      <w:start w:val="1"/>
      <w:numFmt w:val="decimal"/>
      <w:suff w:val="tab"/>
      <w:lvlText w:val="%1."/>
      <w:rPr>
        <w:color w:val="3370ff"/>
      </w:rPr>
    </w:lvl>
  </w:abstractNum>
  <w:abstractNum w:abstractNumId="1872551">
    <w:lvl>
      <w:numFmt w:val="bullet"/>
      <w:suff w:val="tab"/>
      <w:lvlText w:val="￮"/>
      <w:rPr>
        <w:color w:val="3370ff"/>
      </w:rPr>
    </w:lvl>
  </w:abstractNum>
  <w:abstractNum w:abstractNumId="1872552">
    <w:lvl>
      <w:numFmt w:val="bullet"/>
      <w:suff w:val="tab"/>
      <w:lvlText w:val="￮"/>
      <w:rPr>
        <w:color w:val="3370ff"/>
      </w:rPr>
    </w:lvl>
  </w:abstractNum>
  <w:abstractNum w:abstractNumId="1872553">
    <w:lvl>
      <w:start w:val="2"/>
      <w:numFmt w:val="decimal"/>
      <w:suff w:val="tab"/>
      <w:lvlText w:val="%1."/>
      <w:rPr>
        <w:color w:val="3370ff"/>
      </w:rPr>
    </w:lvl>
  </w:abstractNum>
  <w:abstractNum w:abstractNumId="1872554">
    <w:lvl>
      <w:start w:val="3"/>
      <w:numFmt w:val="decimal"/>
      <w:suff w:val="tab"/>
      <w:lvlText w:val="%1."/>
      <w:rPr>
        <w:color w:val="3370ff"/>
      </w:rPr>
    </w:lvl>
  </w:abstractNum>
  <w:abstractNum w:abstractNumId="1872555">
    <w:lvl>
      <w:numFmt w:val="bullet"/>
      <w:suff w:val="tab"/>
      <w:lvlText w:val="￮"/>
      <w:rPr>
        <w:color w:val="3370ff"/>
      </w:rPr>
    </w:lvl>
  </w:abstractNum>
  <w:abstractNum w:abstractNumId="1872556">
    <w:lvl>
      <w:numFmt w:val="bullet"/>
      <w:suff w:val="tab"/>
      <w:lvlText w:val="￮"/>
      <w:rPr>
        <w:color w:val="3370ff"/>
      </w:rPr>
    </w:lvl>
  </w:abstractNum>
  <w:abstractNum w:abstractNumId="1872557">
    <w:lvl>
      <w:numFmt w:val="bullet"/>
      <w:suff w:val="tab"/>
      <w:lvlText w:val="￮"/>
      <w:rPr>
        <w:color w:val="3370ff"/>
      </w:rPr>
    </w:lvl>
  </w:abstractNum>
  <w:abstractNum w:abstractNumId="1872558">
    <w:lvl>
      <w:start w:val="4"/>
      <w:numFmt w:val="decimal"/>
      <w:suff w:val="tab"/>
      <w:lvlText w:val="%1."/>
      <w:rPr>
        <w:color w:val="3370ff"/>
      </w:rPr>
    </w:lvl>
  </w:abstractNum>
  <w:abstractNum w:abstractNumId="1872559">
    <w:lvl>
      <w:numFmt w:val="bullet"/>
      <w:suff w:val="tab"/>
      <w:lvlText w:val="￮"/>
      <w:rPr>
        <w:color w:val="3370ff"/>
      </w:rPr>
    </w:lvl>
  </w:abstractNum>
  <w:abstractNum w:abstractNumId="1872560">
    <w:lvl>
      <w:numFmt w:val="bullet"/>
      <w:suff w:val="tab"/>
      <w:lvlText w:val="￮"/>
      <w:rPr>
        <w:color w:val="3370ff"/>
      </w:rPr>
    </w:lvl>
  </w:abstractNum>
  <w:abstractNum w:abstractNumId="1872561">
    <w:lvl>
      <w:start w:val="5"/>
      <w:numFmt w:val="decimal"/>
      <w:suff w:val="tab"/>
      <w:lvlText w:val="%1."/>
      <w:rPr>
        <w:color w:val="3370ff"/>
      </w:rPr>
    </w:lvl>
  </w:abstractNum>
  <w:abstractNum w:abstractNumId="1872562">
    <w:lvl>
      <w:numFmt w:val="bullet"/>
      <w:suff w:val="tab"/>
      <w:lvlText w:val="￮"/>
      <w:rPr>
        <w:color w:val="3370ff"/>
      </w:rPr>
    </w:lvl>
  </w:abstractNum>
  <w:abstractNum w:abstractNumId="1872563">
    <w:lvl>
      <w:numFmt w:val="bullet"/>
      <w:suff w:val="tab"/>
      <w:lvlText w:val="￮"/>
      <w:rPr>
        <w:color w:val="3370ff"/>
      </w:rPr>
    </w:lvl>
  </w:abstractNum>
  <w:abstractNum w:abstractNumId="1872564">
    <w:lvl>
      <w:numFmt w:val="bullet"/>
      <w:suff w:val="tab"/>
      <w:lvlText w:val="￮"/>
      <w:rPr>
        <w:color w:val="3370ff"/>
      </w:rPr>
    </w:lvl>
  </w:abstractNum>
  <w:abstractNum w:abstractNumId="1872565">
    <w:lvl>
      <w:start w:val="6"/>
      <w:numFmt w:val="decimal"/>
      <w:suff w:val="tab"/>
      <w:lvlText w:val="%1."/>
      <w:rPr>
        <w:color w:val="3370ff"/>
      </w:rPr>
    </w:lvl>
  </w:abstractNum>
  <w:abstractNum w:abstractNumId="1872566">
    <w:lvl>
      <w:numFmt w:val="bullet"/>
      <w:suff w:val="tab"/>
      <w:lvlText w:val="￮"/>
      <w:rPr>
        <w:color w:val="3370ff"/>
      </w:rPr>
    </w:lvl>
  </w:abstractNum>
  <w:abstractNum w:abstractNumId="1872567">
    <w:lvl>
      <w:numFmt w:val="bullet"/>
      <w:suff w:val="tab"/>
      <w:lvlText w:val="￮"/>
      <w:rPr>
        <w:color w:val="3370ff"/>
      </w:rPr>
    </w:lvl>
  </w:abstractNum>
  <w:abstractNum w:abstractNumId="1872568">
    <w:lvl>
      <w:numFmt w:val="bullet"/>
      <w:suff w:val="tab"/>
      <w:lvlText w:val="￮"/>
      <w:rPr>
        <w:color w:val="3370ff"/>
      </w:rPr>
    </w:lvl>
  </w:abstractNum>
  <w:abstractNum w:abstractNumId="1872569">
    <w:lvl>
      <w:start w:val="1"/>
      <w:numFmt w:val="decimal"/>
      <w:suff w:val="tab"/>
      <w:lvlText w:val="%1."/>
      <w:rPr>
        <w:color w:val="3370ff"/>
      </w:rPr>
    </w:lvl>
  </w:abstractNum>
  <w:abstractNum w:abstractNumId="1872570">
    <w:lvl>
      <w:numFmt w:val="bullet"/>
      <w:suff w:val="tab"/>
      <w:lvlText w:val="￮"/>
      <w:rPr>
        <w:color w:val="3370ff"/>
      </w:rPr>
    </w:lvl>
  </w:abstractNum>
  <w:abstractNum w:abstractNumId="1872571">
    <w:lvl>
      <w:numFmt w:val="bullet"/>
      <w:suff w:val="tab"/>
      <w:lvlText w:val="￮"/>
      <w:rPr>
        <w:color w:val="3370ff"/>
      </w:rPr>
    </w:lvl>
  </w:abstractNum>
  <w:abstractNum w:abstractNumId="1872572">
    <w:lvl>
      <w:start w:val="2"/>
      <w:numFmt w:val="decimal"/>
      <w:suff w:val="tab"/>
      <w:lvlText w:val="%1."/>
      <w:rPr>
        <w:color w:val="3370ff"/>
      </w:rPr>
    </w:lvl>
  </w:abstractNum>
  <w:abstractNum w:abstractNumId="1872573">
    <w:lvl>
      <w:numFmt w:val="bullet"/>
      <w:suff w:val="tab"/>
      <w:lvlText w:val="￮"/>
      <w:rPr>
        <w:color w:val="3370ff"/>
      </w:rPr>
    </w:lvl>
  </w:abstractNum>
  <w:abstractNum w:abstractNumId="1872574">
    <w:lvl>
      <w:numFmt w:val="bullet"/>
      <w:suff w:val="tab"/>
      <w:lvlText w:val="￮"/>
      <w:rPr>
        <w:color w:val="3370ff"/>
      </w:rPr>
    </w:lvl>
  </w:abstractNum>
  <w:abstractNum w:abstractNumId="1872575">
    <w:lvl>
      <w:start w:val="3"/>
      <w:numFmt w:val="decimal"/>
      <w:suff w:val="tab"/>
      <w:lvlText w:val="%1."/>
      <w:rPr>
        <w:color w:val="3370ff"/>
      </w:rPr>
    </w:lvl>
  </w:abstractNum>
  <w:abstractNum w:abstractNumId="1872576">
    <w:lvl>
      <w:start w:val="4"/>
      <w:numFmt w:val="decimal"/>
      <w:suff w:val="tab"/>
      <w:lvlText w:val="%1."/>
      <w:rPr>
        <w:color w:val="3370ff"/>
      </w:rPr>
    </w:lvl>
  </w:abstractNum>
  <w:abstractNum w:abstractNumId="1872577">
    <w:lvl>
      <w:numFmt w:val="bullet"/>
      <w:suff w:val="tab"/>
      <w:lvlText w:val="￮"/>
      <w:rPr>
        <w:color w:val="3370ff"/>
      </w:rPr>
    </w:lvl>
  </w:abstractNum>
  <w:abstractNum w:abstractNumId="1872578">
    <w:lvl>
      <w:numFmt w:val="bullet"/>
      <w:suff w:val="tab"/>
      <w:lvlText w:val="￮"/>
      <w:rPr>
        <w:color w:val="3370ff"/>
      </w:rPr>
    </w:lvl>
  </w:abstractNum>
  <w:abstractNum w:abstractNumId="1872579">
    <w:lvl>
      <w:start w:val="5"/>
      <w:numFmt w:val="decimal"/>
      <w:suff w:val="tab"/>
      <w:lvlText w:val="%1."/>
      <w:rPr>
        <w:color w:val="3370ff"/>
      </w:rPr>
    </w:lvl>
  </w:abstractNum>
  <w:abstractNum w:abstractNumId="1872580">
    <w:lvl>
      <w:numFmt w:val="bullet"/>
      <w:suff w:val="tab"/>
      <w:lvlText w:val="￮"/>
      <w:rPr>
        <w:color w:val="3370ff"/>
      </w:rPr>
    </w:lvl>
  </w:abstractNum>
  <w:abstractNum w:abstractNumId="1872581">
    <w:lvl>
      <w:numFmt w:val="bullet"/>
      <w:suff w:val="tab"/>
      <w:lvlText w:val="￮"/>
      <w:rPr>
        <w:color w:val="3370ff"/>
      </w:rPr>
    </w:lvl>
  </w:abstractNum>
  <w:abstractNum w:abstractNumId="1872582">
    <w:lvl>
      <w:start w:val="1"/>
      <w:numFmt w:val="decimal"/>
      <w:suff w:val="tab"/>
      <w:lvlText w:val="%1."/>
      <w:rPr>
        <w:color w:val="3370ff"/>
      </w:rPr>
    </w:lvl>
  </w:abstractNum>
  <w:abstractNum w:abstractNumId="1872583">
    <w:lvl>
      <w:numFmt w:val="bullet"/>
      <w:suff w:val="tab"/>
      <w:lvlText w:val="￮"/>
      <w:rPr>
        <w:color w:val="3370ff"/>
      </w:rPr>
    </w:lvl>
  </w:abstractNum>
  <w:abstractNum w:abstractNumId="1872584">
    <w:lvl>
      <w:numFmt w:val="bullet"/>
      <w:suff w:val="tab"/>
      <w:lvlText w:val="￮"/>
      <w:rPr>
        <w:color w:val="3370ff"/>
      </w:rPr>
    </w:lvl>
  </w:abstractNum>
  <w:abstractNum w:abstractNumId="1872585">
    <w:lvl>
      <w:start w:val="2"/>
      <w:numFmt w:val="decimal"/>
      <w:suff w:val="tab"/>
      <w:lvlText w:val="%1."/>
      <w:rPr>
        <w:color w:val="3370ff"/>
      </w:rPr>
    </w:lvl>
  </w:abstractNum>
  <w:abstractNum w:abstractNumId="1872586">
    <w:lvl>
      <w:numFmt w:val="bullet"/>
      <w:suff w:val="tab"/>
      <w:lvlText w:val="￮"/>
      <w:rPr>
        <w:color w:val="3370ff"/>
      </w:rPr>
    </w:lvl>
  </w:abstractNum>
  <w:abstractNum w:abstractNumId="1872587">
    <w:lvl>
      <w:start w:val="3"/>
      <w:numFmt w:val="decimal"/>
      <w:suff w:val="tab"/>
      <w:lvlText w:val="%1."/>
      <w:rPr>
        <w:color w:val="3370ff"/>
      </w:rPr>
    </w:lvl>
  </w:abstractNum>
  <w:abstractNum w:abstractNumId="1872588">
    <w:lvl>
      <w:numFmt w:val="bullet"/>
      <w:suff w:val="tab"/>
      <w:lvlText w:val="￮"/>
      <w:rPr>
        <w:color w:val="3370ff"/>
      </w:rPr>
    </w:lvl>
  </w:abstractNum>
  <w:abstractNum w:abstractNumId="1872589">
    <w:lvl>
      <w:start w:val="4"/>
      <w:numFmt w:val="decimal"/>
      <w:suff w:val="tab"/>
      <w:lvlText w:val="%1."/>
      <w:rPr>
        <w:color w:val="3370ff"/>
      </w:rPr>
    </w:lvl>
  </w:abstractNum>
  <w:abstractNum w:abstractNumId="1872590">
    <w:lvl>
      <w:numFmt w:val="bullet"/>
      <w:suff w:val="tab"/>
      <w:lvlText w:val="￮"/>
      <w:rPr>
        <w:color w:val="3370ff"/>
      </w:rPr>
    </w:lvl>
  </w:abstractNum>
  <w:abstractNum w:abstractNumId="1872591">
    <w:lvl>
      <w:numFmt w:val="bullet"/>
      <w:suff w:val="tab"/>
      <w:lvlText w:val="￮"/>
      <w:rPr>
        <w:color w:val="3370ff"/>
      </w:rPr>
    </w:lvl>
  </w:abstractNum>
  <w:abstractNum w:abstractNumId="1872592">
    <w:lvl>
      <w:numFmt w:val="bullet"/>
      <w:suff w:val="tab"/>
      <w:lvlText w:val="￮"/>
      <w:rPr>
        <w:color w:val="3370ff"/>
      </w:rPr>
    </w:lvl>
  </w:abstractNum>
  <w:abstractNum w:abstractNumId="1872593">
    <w:lvl>
      <w:start w:val="5"/>
      <w:numFmt w:val="decimal"/>
      <w:suff w:val="tab"/>
      <w:lvlText w:val="%1."/>
      <w:rPr>
        <w:color w:val="3370ff"/>
      </w:rPr>
    </w:lvl>
  </w:abstractNum>
  <w:abstractNum w:abstractNumId="1872594">
    <w:lvl>
      <w:numFmt w:val="bullet"/>
      <w:suff w:val="tab"/>
      <w:lvlText w:val="￮"/>
      <w:rPr>
        <w:color w:val="3370ff"/>
      </w:rPr>
    </w:lvl>
  </w:abstractNum>
  <w:abstractNum w:abstractNumId="1872595">
    <w:lvl>
      <w:numFmt w:val="bullet"/>
      <w:suff w:val="tab"/>
      <w:lvlText w:val="￮"/>
      <w:rPr>
        <w:color w:val="3370ff"/>
      </w:rPr>
    </w:lvl>
  </w:abstractNum>
  <w:num w:numId="1">
    <w:abstractNumId w:val="1872550"/>
  </w:num>
  <w:num w:numId="2">
    <w:abstractNumId w:val="1872551"/>
  </w:num>
  <w:num w:numId="3">
    <w:abstractNumId w:val="1872552"/>
  </w:num>
  <w:num w:numId="4">
    <w:abstractNumId w:val="1872553"/>
  </w:num>
  <w:num w:numId="5">
    <w:abstractNumId w:val="1872554"/>
  </w:num>
  <w:num w:numId="6">
    <w:abstractNumId w:val="1872555"/>
  </w:num>
  <w:num w:numId="7">
    <w:abstractNumId w:val="1872556"/>
  </w:num>
  <w:num w:numId="8">
    <w:abstractNumId w:val="1872557"/>
  </w:num>
  <w:num w:numId="9">
    <w:abstractNumId w:val="1872558"/>
  </w:num>
  <w:num w:numId="10">
    <w:abstractNumId w:val="1872559"/>
  </w:num>
  <w:num w:numId="11">
    <w:abstractNumId w:val="1872560"/>
  </w:num>
  <w:num w:numId="12">
    <w:abstractNumId w:val="1872561"/>
  </w:num>
  <w:num w:numId="13">
    <w:abstractNumId w:val="1872562"/>
  </w:num>
  <w:num w:numId="14">
    <w:abstractNumId w:val="1872563"/>
  </w:num>
  <w:num w:numId="15">
    <w:abstractNumId w:val="1872564"/>
  </w:num>
  <w:num w:numId="16">
    <w:abstractNumId w:val="1872565"/>
  </w:num>
  <w:num w:numId="17">
    <w:abstractNumId w:val="1872566"/>
  </w:num>
  <w:num w:numId="18">
    <w:abstractNumId w:val="1872567"/>
  </w:num>
  <w:num w:numId="19">
    <w:abstractNumId w:val="1872568"/>
  </w:num>
  <w:num w:numId="20">
    <w:abstractNumId w:val="1872569"/>
  </w:num>
  <w:num w:numId="21">
    <w:abstractNumId w:val="1872570"/>
  </w:num>
  <w:num w:numId="22">
    <w:abstractNumId w:val="1872571"/>
  </w:num>
  <w:num w:numId="23">
    <w:abstractNumId w:val="1872572"/>
  </w:num>
  <w:num w:numId="24">
    <w:abstractNumId w:val="1872573"/>
  </w:num>
  <w:num w:numId="25">
    <w:abstractNumId w:val="1872574"/>
  </w:num>
  <w:num w:numId="26">
    <w:abstractNumId w:val="1872575"/>
  </w:num>
  <w:num w:numId="27">
    <w:abstractNumId w:val="1872576"/>
  </w:num>
  <w:num w:numId="28">
    <w:abstractNumId w:val="1872577"/>
  </w:num>
  <w:num w:numId="29">
    <w:abstractNumId w:val="1872578"/>
  </w:num>
  <w:num w:numId="30">
    <w:abstractNumId w:val="1872579"/>
  </w:num>
  <w:num w:numId="31">
    <w:abstractNumId w:val="1872580"/>
  </w:num>
  <w:num w:numId="32">
    <w:abstractNumId w:val="1872581"/>
  </w:num>
  <w:num w:numId="33">
    <w:abstractNumId w:val="1872582"/>
  </w:num>
  <w:num w:numId="34">
    <w:abstractNumId w:val="1872583"/>
  </w:num>
  <w:num w:numId="35">
    <w:abstractNumId w:val="1872584"/>
  </w:num>
  <w:num w:numId="36">
    <w:abstractNumId w:val="1872585"/>
  </w:num>
  <w:num w:numId="37">
    <w:abstractNumId w:val="1872586"/>
  </w:num>
  <w:num w:numId="38">
    <w:abstractNumId w:val="1872587"/>
  </w:num>
  <w:num w:numId="39">
    <w:abstractNumId w:val="1872588"/>
  </w:num>
  <w:num w:numId="40">
    <w:abstractNumId w:val="1872589"/>
  </w:num>
  <w:num w:numId="41">
    <w:abstractNumId w:val="1872590"/>
  </w:num>
  <w:num w:numId="42">
    <w:abstractNumId w:val="1872591"/>
  </w:num>
  <w:num w:numId="43">
    <w:abstractNumId w:val="1872592"/>
  </w:num>
  <w:num w:numId="44">
    <w:abstractNumId w:val="1872593"/>
  </w:num>
  <w:num w:numId="45">
    <w:abstractNumId w:val="1872594"/>
  </w:num>
  <w:num w:numId="46">
    <w:abstractNumId w:val="18725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2026-05-30T06:24:05Z</dcterms:created>
  <dc:creator>Apache POI</dc:creator>
</cp:coreProperties>
</file>