
<file path=[Content_Types].xml><?xml version="1.0" encoding="utf-8"?>
<ct:Types xmlns:ct="http://schemas.openxmlformats.org/package/2006/content-types">
  <ct:Default Extension="jpeg" ContentType="image/jpeg"/>
  <ct:Default Extension="rels" ContentType="application/vnd.openxmlformats-package.relationships+xml"/>
  <ct:Default Extension="xml" ContentType="application/xml"/>
  <ct:Override PartName="/customXml/itemProps1.xml" ContentType="application/vnd.openxmlformats-officedocument.customXmlProperties+xml"/>
  <ct:Override PartName="/docProps/app.xml" ContentType="application/vnd.openxmlformats-officedocument.extended-properties+xml"/>
  <ct:Override PartName="/docProps/core.xml" ContentType="application/vnd.openxmlformats-package.core-properties+xml"/>
  <ct:Override PartName="/word/document.xml" ContentType="application/vnd.openxmlformats-officedocument.wordprocessingml.document.main+xml"/>
  <ct:Override PartName="/word/fontTable.xml" ContentType="application/vnd.openxmlformats-officedocument.wordprocessingml.fontTable+xml"/>
  <ct:Override PartName="/word/numbering.xml" ContentType="application/vnd.openxmlformats-officedocument.wordprocessingml.numbering+xml"/>
  <ct:Override PartName="/word/settings.xml" ContentType="application/vnd.openxmlformats-officedocument.wordprocessingml.settings+xml"/>
  <ct:Override PartName="/word/styles.xml" ContentType="application/vnd.openxmlformats-officedocument.wordprocessingml.styles+xml"/>
  <ct:Override PartName="/word/stylesWithEffects.xml" ContentType="application/vnd.ms-word.stylesWithEffects+xml"/>
  <ct:Override PartName="/word/theme/theme1.xml" ContentType="application/vnd.openxmlformats-officedocument.theme+xml"/>
  <ct:Override PartName="/word/webSettings.xml" ContentType="application/vnd.openxmlformats-officedocument.wordprocessingml.webSettings+xml"/>
  <ct:Override PartName="/word/comments.xml" ContentType="application/vnd.openxmlformats-officedocument.wordprocessingml.comments+xml"/>
</ct: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r>
        <w:t>测试案例二：C2P模块 - 高风险第三国且条款被不当修改</w:t>
      </w:r>
    </w:p>
    <w:p>
      <w:commentRangeStart w:id="4"/>
      <w:r>
        <w:t>场景：德国柏林的“健康研究所有限公司”（Gesundheitsforschung GmbH，数据输出方，控制者）委托印度班加罗尔的“数据洞察解决方案公司”（Data Insights Solutions Pvt. Ltd.，数据输入方，处理者）进行医疗研究数据的统计分析。传输的数据包含匿名的患者健康数据（但根据GDPR仍属特殊类别数据）。双方签署了SCC Module Two (C2P)。</w:t>
      </w:r>
      <w:commentRangeEnd w:id="4"/>
      <w:r>
        <w:commentReference w:id="4"/>
      </w:r>
    </w:p>
    <w:p>
      <w:r>
        <w:t>植入的风险点：</w:t>
      </w:r>
    </w:p>
    <w:p>
      <w:commentRangeStart w:id="8"/>
      <w:r>
        <w:t>高风险第三国法律环境：印度尚未获得欧盟充分性认定，且其《信息技术法》及修订案赋予政府广泛的数据访问权，与EDPB建议中关注的法律特征相符。</w:t>
      </w:r>
      <w:commentRangeEnd w:id="8"/>
      <w:r>
        <w:commentReference w:id="8"/>
      </w:r>
    </w:p>
    <w:p>
      <w:commentRangeStart w:id="7"/>
      <w:r>
        <w:t>SCC关键条款被修改：双方在附件中修改了Clause 15关于政府访问请求的通知义务，将通知时限从“尽可能及时”改为“在法律允许的范围内尽快”，并删除了提供聚合信息的要求。</w:t>
      </w:r>
      <w:commentRangeEnd w:id="7"/>
      <w:r>
        <w:commentReference w:id="7"/>
      </w:r>
    </w:p>
    <w:p>
      <w:commentRangeStart w:id="6"/>
      <w:r>
        <w:t>数据敏感性描述不足：Annex I.B中将“患者健康数据”描述为“非敏感”，与GDPR定义冲突。</w:t>
      </w:r>
      <w:commentRangeEnd w:id="6"/>
      <w:r>
        <w:commentReference w:id="6"/>
      </w:r>
    </w:p>
    <w:p>
      <w:r>
        <w:t>子处理者授权机制不明确：Clause 9关于子处理者的约定中，未明确数据输出方对子处理者名单的具体书面授权方式。</w:t>
      </w:r>
    </w:p>
    <w:p>
      <w:r>
        <w:t>提交审查的SCC文档全文（关键问题部分节选）：</w:t>
      </w:r>
    </w:p>
    <w:p>
      <w:r>
        <w:t>Plain Text</w:t>
      </w:r>
    </w:p>
    <w:p>
      <w:r>
        <w:t>**Clause 9: Use of sub-processors**</w:t>
      </w:r>
    </w:p>
    <w:p>
      <w:r>
        <w:t>...</w:t>
      </w:r>
    </w:p>
    <w:p>
      <w:r>
        <w:t>(g) The data importer shall submit any planned changes to its list of sub-processors to the data exporter via email. If the data exporter does not object in writing within fifteen (15) business days of receipt of the notification, the data importer may engage the new sub-processor.</w:t>
      </w:r>
    </w:p>
    <w:p>
      <w:r>
        <w:t>(注：此条款符合SCC范本，但未在附件中明确列出子处理者或授权机制细节)</w:t>
      </w:r>
    </w:p>
    <w:p/>
    <w:p>
      <w:commentRangeStart w:id="5"/>
      <w:r>
        <w:t>**Clause 14: Local laws and practices affecting compliance with the Clauses**</w:t>
      </w:r>
      <w:commentRangeEnd w:id="5"/>
      <w:r>
        <w:commentReference w:id="5"/>
      </w:r>
    </w:p>
    <w:p>
      <w:r>
        <w:t>...(a) &amp; (b) 标准文本...</w:t>
      </w:r>
    </w:p>
    <w:p>
      <w:commentRangeStart w:id="2"/>
      <w:r>
        <w:t>(c) The data importer agrees to document the assessment made under paragraph (b) as well as any suitable safeguards identified and provide it to the data exporter **only upon a specific, justified request**. (注：此处修改了范本中“on request”的表述，增加了限制条件)</w:t>
      </w:r>
      <w:commentRangeEnd w:id="2"/>
      <w:r>
        <w:commentReference w:id="2"/>
      </w:r>
    </w:p>
    <w:p/>
    <w:p>
      <w:r>
        <w:t>**Clause 15: Obligations of the data importer in case of access by public authorities**</w:t>
      </w:r>
    </w:p>
    <w:p>
      <w:commentRangeStart w:id="1"/>
      <w:r>
        <w:t>(a) The data importer agrees to notify the data exporter and, where possible, the data subject (if necessary with the help of the data exporter) **as soon as legally permissible** if it:</w:t>
      </w:r>
      <w:commentRangeEnd w:id="1"/>
      <w:r>
        <w:commentReference w:id="1"/>
      </w:r>
    </w:p>
    <w:p>
      <w:r>
        <w:t xml:space="preserve">    (i) receives a legally binding request from a public authority, including judicial authorities, under the laws of the country of destination for the disclosure of personal data transferred pursuant to these Clauses; or</w:t>
      </w:r>
    </w:p>
    <w:p>
      <w:r>
        <w:t xml:space="preserve">    (ii) becomes aware of any direct access by public authorities to personal data transferred pursuant to these Clauses in accordance with the laws of the country of destination.</w:t>
      </w:r>
    </w:p>
    <w:p>
      <w:r>
        <w:t xml:space="preserve">    The data importer shall also provide the data exporter, **at its discretion**, with relevant information about the request. (注：此处严重削弱了通知义务)</w:t>
      </w:r>
    </w:p>
    <w:p>
      <w:r>
        <w:t>(b) ... (c) ... (d) The data importer agrees to preserve the information required to be provided pursuant to paragraph (a) for the duration of the contract and make it available to the competent supervisory authority on request.</w:t>
      </w:r>
    </w:p>
    <w:p>
      <w:r>
        <w:t>(e) Paragraphs (a) to (c) are without prejudice to the obligation of the data importer pursuant to Clause 14(e) and Clause 16 to inform the data exporter promptly where it is unable to comply with these Clauses.</w:t>
      </w:r>
    </w:p>
    <w:p/>
    <w:p>
      <w:r>
        <w:t>**ANNEX I**</w:t>
      </w:r>
    </w:p>
    <w:p>
      <w:r>
        <w:t>B. DESCRIPTION OF TRANSFER</w:t>
      </w:r>
    </w:p>
    <w:p>
      <w:r>
        <w:t>...</w:t>
      </w:r>
    </w:p>
    <w:p>
      <w:r>
        <w:t>Categories of personal data transferred:</w:t>
      </w:r>
    </w:p>
    <w:p>
      <w:r>
        <w:t xml:space="preserve">   Patient unique study identifier (pseudonymised), age group, gender, diagnostic codes, treatment codes, laboratory test results (anonymised).</w:t>
      </w:r>
    </w:p>
    <w:p/>
    <w:p>
      <w:r>
        <w:t>Sensitive data transferred (if applicable) and applied restrictions or safeguards:</w:t>
      </w:r>
    </w:p>
    <w:p>
      <w:commentRangeStart w:id="3"/>
      <w:r>
        <w:t xml:space="preserve">   **Not applicable. The data is anonymised for research purposes and does not constitute special categories of data.** (注：错误描述！根据GDPR，用于研究的健康数据即使匿名化，在特定上下文中仍可能被视为特殊类别数据处理，需要额外保护)</w:t>
      </w:r>
      <w:commentRangeEnd w:id="3"/>
      <w:r>
        <w:commentReference w:id="3"/>
      </w:r>
    </w:p>
    <w:p>
      <w:r>
        <w:t>...</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I4Law" w:initials="AR">
    <w:p>
      <w:r>
        <w:t>风险点名称</w:t>
      </w:r>
    </w:p>
    <w:p>
      <w:r>
        <w:t>clause_weakened</w:t>
      </w:r>
    </w:p>
    <w:p>
      <w:r>
        <w:t>定位</w:t>
      </w:r>
    </w:p>
    <w:p>
      <w:r>
        <w:t>Clause 15(a) notification</w:t>
      </w:r>
    </w:p>
    <w:p>
      <w:r>
        <w:t>风险等级</w:t>
      </w:r>
    </w:p>
    <w:p>
      <w:r>
        <w:t>HIGH</w:t>
      </w:r>
    </w:p>
    <w:p>
      <w:r>
        <w:t>审核规则</w:t>
      </w:r>
    </w:p>
    <w:p>
      <w:r>
        <w:t>EU 2021/914, Recital 3 (invariability of Clauses); GDPR Article 46</w:t>
      </w:r>
    </w:p>
    <w:p>
      <w:r>
        <w:t>风险分析</w:t>
      </w:r>
    </w:p>
    <w:p>
      <w:r>
        <w:t>Clause 15 deviation detected: 修改为'法律许可时'通知，而非'立即(promptly)'</w:t>
      </w:r>
    </w:p>
    <w:p>
      <w:r>
        <w:t>建议</w:t>
      </w:r>
    </w:p>
    <w:p>
      <w:r>
        <w:t>restore 'promptly notify'</w:t>
      </w:r>
    </w:p>
    <w:p>
      <w:r>
        <w:t>原文摘录</w:t>
      </w:r>
    </w:p>
    <w:p>
      <w:r>
        <w:t>as soon as legally permissible</w:t>
      </w:r>
    </w:p>
  </w:comment>
  <w:comment w:id="2" w:author="AI4Law" w:initials="AR">
    <w:p>
      <w:r>
        <w:t>风险点名称</w:t>
      </w:r>
    </w:p>
    <w:p>
      <w:r>
        <w:t>annex_incomplete</w:t>
      </w:r>
    </w:p>
    <w:p>
      <w:r>
        <w:t>定位</w:t>
      </w:r>
    </w:p>
    <w:p>
      <w:r>
        <w:t>Annex I.A</w:t>
      </w:r>
    </w:p>
    <w:p>
      <w:r>
        <w:t>风险等级</w:t>
      </w:r>
    </w:p>
    <w:p>
      <w:r>
        <w:t>MEDIUM</w:t>
      </w:r>
    </w:p>
    <w:p>
      <w:r>
        <w:t>审核规则</w:t>
      </w:r>
    </w:p>
    <w:p>
      <w:r>
        <w:t>EU 2021/914 Annex I.A; Clause 7</w:t>
      </w:r>
    </w:p>
    <w:p>
      <w:r>
        <w:t>风险分析</w:t>
      </w:r>
    </w:p>
    <w:p>
      <w:r>
        <w:t>Less than 2 parties identified in Annex I.A. Docking Clause (Clause 7) parties may also be missing.</w:t>
      </w:r>
    </w:p>
    <w:p>
      <w:r>
        <w:t>建议</w:t>
      </w:r>
    </w:p>
    <w:p>
      <w:r>
        <w:t>Complete Annex I.A with all data exporters and importers, including any additional parties via Docking Clause.</w:t>
      </w:r>
    </w:p>
  </w:comment>
  <w:comment w:id="3" w:author="AI4Law" w:initials="AR">
    <w:p>
      <w:r>
        <w:t>风险点名称</w:t>
      </w:r>
    </w:p>
    <w:p>
      <w:r>
        <w:t>special_category_misclassified</w:t>
      </w:r>
    </w:p>
    <w:p>
      <w:r>
        <w:t>定位</w:t>
      </w:r>
    </w:p>
    <w:p>
      <w:r>
        <w:t>Annex I.B</w:t>
      </w:r>
    </w:p>
    <w:p>
      <w:r>
        <w:t>风险等级</w:t>
      </w:r>
    </w:p>
    <w:p>
      <w:r>
        <w:t>HIGH</w:t>
      </w:r>
    </w:p>
    <w:p>
      <w:r>
        <w:t>审核规则</w:t>
      </w:r>
    </w:p>
    <w:p>
      <w:r>
        <w:t>GDPR Article 9; EU 2021/914; EDPB Recommendations 01/2020</w:t>
      </w:r>
    </w:p>
    <w:p>
      <w:r>
        <w:t>风险分析</w:t>
      </w:r>
    </w:p>
    <w:p>
      <w:r>
        <w:t>Transfer description contains health/medical data terms but special category data is NOT declared. Under GDPR Article 9, health data requires explicit consent or another exemption, and SCCs alone may not be sufficient.</w:t>
      </w:r>
    </w:p>
    <w:p>
      <w:r>
        <w:t>建议</w:t>
      </w:r>
    </w:p>
    <w:p>
      <w:r>
        <w:t>(1) Verify whether the data includes special categories; (2) If yes, declare them explicitly in Annex I.B; (3) Assess whether supplementary measures are needed for special category data transfers.</w:t>
      </w:r>
    </w:p>
    <w:p>
      <w:r>
        <w:t>原文摘录</w:t>
      </w:r>
    </w:p>
    <w:p>
      <w:r>
        <w:t>does not constitute special categories of data</w:t>
      </w:r>
    </w:p>
  </w:comment>
  <w:comment w:id="4" w:author="AI4Law" w:initials="AR">
    <w:p>
      <w:r>
        <w:t>风险点名称</w:t>
      </w:r>
    </w:p>
    <w:p>
      <w:r>
        <w:t>annex_incomplete</w:t>
      </w:r>
    </w:p>
    <w:p>
      <w:r>
        <w:t>定位</w:t>
      </w:r>
    </w:p>
    <w:p>
      <w:r>
        <w:t>Annex II</w:t>
      </w:r>
    </w:p>
    <w:p>
      <w:r>
        <w:t>风险等级</w:t>
      </w:r>
    </w:p>
    <w:p>
      <w:r>
        <w:t>HIGH</w:t>
      </w:r>
    </w:p>
    <w:p>
      <w:r>
        <w:t>审核规则</w:t>
      </w:r>
    </w:p>
    <w:p>
      <w:r>
        <w:t>EU 2021/914 Annex II; GDPR Articles 32, 46</w:t>
      </w:r>
    </w:p>
    <w:p>
      <w:r>
        <w:t>风险分析</w:t>
      </w:r>
    </w:p>
    <w:p>
      <w:r>
        <w:t>Annex II (Technical and Organisational Measures) appears empty or could not be parsed. Without specified TOMs, the SCC does not demonstrate adequate data protection safeguards.</w:t>
      </w:r>
    </w:p>
    <w:p>
      <w:r>
        <w:t>建议</w:t>
      </w:r>
    </w:p>
    <w:p>
      <w:r>
        <w:t>Complete Annex II with specific technical and organisational measures, including encryption standards, access controls, incident response, and data minimization practices.</w:t>
      </w:r>
    </w:p>
  </w:comment>
  <w:comment w:id="5" w:author="AI4Law" w:initials="AR">
    <w:p>
      <w:r>
        <w:t>风险点名称</w:t>
      </w:r>
    </w:p>
    <w:p>
      <w:r>
        <w:t>tia_missing</w:t>
      </w:r>
    </w:p>
    <w:p>
      <w:r>
        <w:t>定位</w:t>
      </w:r>
    </w:p>
    <w:p>
      <w:r>
        <w:t>Clause 14</w:t>
      </w:r>
    </w:p>
    <w:p>
      <w:r>
        <w:t>风险等级</w:t>
      </w:r>
    </w:p>
    <w:p>
      <w:r>
        <w:t>HIGH</w:t>
      </w:r>
    </w:p>
    <w:p>
      <w:r>
        <w:t>审核规则</w:t>
      </w:r>
    </w:p>
    <w:p>
      <w:r>
        <w:t>GDPR Article 46; Schrems II C-311/18; EDPB Recommendations 01/2020; EU 2021/914 Clause 14</w:t>
      </w:r>
    </w:p>
    <w:p>
      <w:r>
        <w:t>风险分析</w:t>
      </w:r>
    </w:p>
    <w:p>
      <w:r>
        <w:t>Third country transfer identified to: India. No Transfer Impact Assessment (TIA) has been provided. Under GDPR and Schrems II (C-311/18), a documented TIA is required before transferring personal data to a third country without an adequacy decision.</w:t>
      </w:r>
    </w:p>
    <w:p>
      <w:r>
        <w:t>建议</w:t>
      </w:r>
    </w:p>
    <w:p>
      <w:r>
        <w:t>Complete a TIA for transfers to India. The TIA must: (1) assess the laws and practices of the destination country; (2) evaluate whether they impinge on the SCCs' effectiveness; (3) identify and implement supplementary measures as needed.</w:t>
      </w:r>
    </w:p>
  </w:comment>
  <w:comment w:id="6" w:author="AI4Law" w:initials="AR">
    <w:p>
      <w:r>
        <w:t>风险点名称</w:t>
      </w:r>
    </w:p>
    <w:p>
      <w:r>
        <w:t>supplementary_measures_insufficient</w:t>
      </w:r>
    </w:p>
    <w:p>
      <w:r>
        <w:t>定位</w:t>
      </w:r>
    </w:p>
    <w:p>
      <w:r>
        <w:t>Annex II</w:t>
      </w:r>
    </w:p>
    <w:p>
      <w:r>
        <w:t>风险等级</w:t>
      </w:r>
    </w:p>
    <w:p>
      <w:r>
        <w:t>HIGH</w:t>
      </w:r>
    </w:p>
    <w:p>
      <w:r>
        <w:t>审核规则</w:t>
      </w:r>
    </w:p>
    <w:p>
      <w:r>
        <w:t>Schrems II C-311/18; EDPB Recommendations 01/2020; EU 2021/914 Annex II</w:t>
      </w:r>
    </w:p>
    <w:p>
      <w:r>
        <w:t>风险分析</w:t>
      </w:r>
    </w:p>
    <w:p>
      <w:r>
        <w:t>Third country transfer to non-adequate jurisdiction 'India' requires Schrems II supplementary measures. Technical: NOT FOUND. Contractual: NOT FOUND. Organizational: NOT FOUND.</w:t>
      </w:r>
    </w:p>
    <w:p>
      <w:r>
        <w:t>建议</w:t>
      </w:r>
    </w:p>
    <w:p>
      <w:r>
        <w:t>Implement Schrems II supplementary measures: (1) Technical — end-to-end encryption with EU-held keys, zero-access architecture; (2) Contractual — government access notification obligation, commitment to challenge unlawful requests, transparency reporting; (3) Organizational — independent annual audit, data minimization.</w:t>
      </w:r>
    </w:p>
  </w:comment>
  <w:comment w:id="7" w:author="AI4Law" w:initials="AR">
    <w:p>
      <w:r>
        <w:t>风险点名称</w:t>
      </w:r>
    </w:p>
    <w:p>
      <w:r>
        <w:t>clause_weakened</w:t>
      </w:r>
    </w:p>
    <w:p>
      <w:r>
        <w:t>定位</w:t>
      </w:r>
    </w:p>
    <w:p>
      <w:r>
        <w:t>Clause 15</w:t>
      </w:r>
    </w:p>
    <w:p>
      <w:r>
        <w:t>风险等级</w:t>
      </w:r>
    </w:p>
    <w:p>
      <w:r>
        <w:t>HIGH</w:t>
      </w:r>
    </w:p>
    <w:p>
      <w:r>
        <w:t>审核规则</w:t>
      </w:r>
    </w:p>
    <w:p>
      <w:r>
        <w:t>EU 2021/914 Recital 3; SCC Clause 15; GDPR Article 46</w:t>
      </w:r>
    </w:p>
    <w:p>
      <w:r>
        <w:t>风险分析</w:t>
      </w:r>
    </w:p>
    <w:p>
      <w:r>
        <w:t>Semantic weakening (information_provision): Information provision made discretionary</w:t>
      </w:r>
    </w:p>
    <w:p>
      <w:r>
        <w:t>建议</w:t>
      </w:r>
    </w:p>
    <w:p>
      <w:r>
        <w:t>Restore the standard EU 2021/914 text for this provision.</w:t>
      </w:r>
    </w:p>
  </w:comment>
  <w:comment w:id="8" w:author="AI4Law" w:initials="AR">
    <w:p>
      <w:r>
        <w:t>风险点名称</w:t>
      </w:r>
    </w:p>
    <w:p>
      <w:r>
        <w:t>supplementary_measures_insufficient</w:t>
      </w:r>
    </w:p>
    <w:p>
      <w:r>
        <w:t>定位</w:t>
      </w:r>
    </w:p>
    <w:p>
      <w:r>
        <w:t>Annex II / TIA</w:t>
      </w:r>
    </w:p>
    <w:p>
      <w:r>
        <w:t>风险等级</w:t>
      </w:r>
    </w:p>
    <w:p>
      <w:r>
        <w:t>HIGH</w:t>
      </w:r>
    </w:p>
    <w:p>
      <w:r>
        <w:t>审核规则</w:t>
      </w:r>
    </w:p>
    <w:p>
      <w:r>
        <w:t>Schrems II C-311/18; EDPB Recommendations 01/2020; GDPR Article 46</w:t>
      </w:r>
    </w:p>
    <w:p>
      <w:r>
        <w:t>风险分析</w:t>
      </w:r>
    </w:p>
    <w:p>
      <w:r>
        <w:t>Technical: insufficient (Technical measures are limited or not detected.). Contractual: missing. Organizational: missing. Overall: insufficient.</w:t>
      </w:r>
    </w:p>
    <w:p>
      <w:r>
        <w:t>建议</w:t>
      </w:r>
    </w:p>
    <w:p>
      <w:r>
        <w:t>Technical: implement e2ee_eu_keys, basic_encryption_only, access_controls | Contractual: add gov_access, onward_restrictions | Organizational: establish audit, logging, key_management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pr:Relationships xmlns:pr="http://schemas.openxmlformats.org/package/2006/relationships"><pr:Relationship Id="rId3" Type="http://schemas.openxmlformats.org/officeDocument/2006/relationships/styles" Target="styles.xml" /><pr:Relationship Id="rId4" Type="http://schemas.microsoft.com/office/2007/relationships/stylesWithEffects" Target="stylesWithEffects.xml" /><pr:Relationship Id="rId5" Type="http://schemas.openxmlformats.org/officeDocument/2006/relationships/settings" Target="settings.xml" /><pr:Relationship Id="rId6" Type="http://schemas.openxmlformats.org/officeDocument/2006/relationships/webSettings" Target="webSettings.xml" /><pr:Relationship Id="rId7" Type="http://schemas.openxmlformats.org/officeDocument/2006/relationships/fontTable" Target="fontTable.xml" /><pr:Relationship Id="rId8" Type="http://schemas.openxmlformats.org/officeDocument/2006/relationships/theme" Target="theme/theme1.xml" /><pr:Relationship Id="rId1" Type="http://schemas.openxmlformats.org/officeDocument/2006/relationships/customXml" Target="../customXml/item1.xml" /><pr:Relationship Id="rId2" Type="http://schemas.openxmlformats.org/officeDocument/2006/relationships/numbering" Target="numbering.xml" /><pr:Relationship Id="rId9" Type="http://schemas.openxmlformats.org/officeDocument/2006/relationships/comments" Target="comments.xml" /></p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case 02: India health-data review input</dc:title>
  <dc:subject>Derived verbatim from case 2 and table 2 of resources/new/数规通功能路径描述（含reference）、流程描述、测试案例/欧盟数据出境路径/任务1：“SCC审查”路径描述及测试案例/“SCC审查”测试案例及预期输出.docx</dc:subject>
  <dc:creator>DataComplyFlow test fixture builder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