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TIA Transfer Impact Assessment</w:t>
      </w:r>
    </w:p>
    <w:p>
      <w:r/>
      <w:r>
        <w:t>第三国法律环境评估显示存在政府访问风险 [1]。</w:t>
      </w:r>
    </w:p>
    <w:p>
      <w:r/>
      <w:r>
        <w:t>传输工具适用性判断的说明内容。</w:t>
      </w:r>
    </w:p>
    <w:p>
      <w:r/>
      <w:r>
        <w:t>第三国法律与实践评估的说明内容。</w:t>
      </w:r>
    </w:p>
    <w:p>
      <w:r/>
      <w:r>
        <w:t>补充措施可执行性评估的说明内容。</w:t>
      </w:r>
    </w:p>
    <w:p>
      <w:r/>
      <w:r>
        <w:t>剩余风险与合规结论的说明内容。</w:t>
      </w:r>
      <w:r>
        <w:br/>
      </w:r>
      <w:r>
        <w:t>持续复审与行动计划的说明内容。</w:t>
      </w:r>
      <w:r>
        <w:br/>
      </w:r>
      <w:r>
        <w:t>在补充措施到位的前提下可以传输。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