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数安科技有限公司 PIPIA 报告草案</w:t>
      </w:r>
    </w:p>
    <w:p>
      <w:pPr>
        <w:pStyle w:val="Heading1"/>
      </w:pPr>
      <w:r>
        <w:t>基础信息</w:t>
      </w:r>
    </w:p>
    <w:p>
      <w:pPr>
        <w:pStyle w:val="ListBullet"/>
      </w:pPr>
      <w:r>
        <w:t>企业名称：数安科技有限公司</w:t>
      </w:r>
    </w:p>
    <w:p>
      <w:pPr>
        <w:pStyle w:val="ListBullet"/>
      </w:pPr>
      <w:r>
        <w:t>合规路径：scc_filing</w:t>
      </w:r>
    </w:p>
    <w:p>
      <w:pPr>
        <w:pStyle w:val="ListBullet"/>
      </w:pPr>
      <w:r>
        <w:t>境外接收方：OceanStar Technology Inc.（美国加州）</w:t>
      </w:r>
    </w:p>
    <w:p>
      <w:pPr>
        <w:pStyle w:val="ListBullet"/>
      </w:pPr>
      <w:r>
        <w:t>出境目的：境外客服与系统运维</w:t>
      </w:r>
    </w:p>
    <w:p>
      <w:pPr>
        <w:pStyle w:val="ListBullet"/>
      </w:pPr>
      <w:r>
        <w:t>风险等级：LOW</w:t>
      </w:r>
    </w:p>
    <w:p>
      <w:pPr>
        <w:pStyle w:val="Heading1"/>
      </w:pPr>
      <w:r>
        <w:t>处理者与出境活动基础信息</w:t>
      </w:r>
    </w:p>
    <w:p>
      <w:r>
        <w:t>（处理者与出境活动基础信息：LLM未配置，此处为占位内容）</w:t>
      </w:r>
    </w:p>
    <w:p>
      <w:pPr>
        <w:pStyle w:val="Heading1"/>
      </w:pPr>
      <w:r>
        <w:t>个人信息出境处理活动说明</w:t>
      </w:r>
    </w:p>
    <w:p>
      <w:r>
        <w:t>（个人信息出境处理活动说明：LLM未配置，此处为占位内容）</w:t>
      </w:r>
    </w:p>
    <w:p>
      <w:pPr>
        <w:pStyle w:val="Heading1"/>
      </w:pPr>
      <w:r>
        <w:t>境外接收方信息与保护能力</w:t>
      </w:r>
    </w:p>
    <w:p>
      <w:r>
        <w:t>（境外接收方信息与保护能力：LLM未配置，此处为占位内容）</w:t>
      </w:r>
    </w:p>
    <w:p>
      <w:pPr>
        <w:pStyle w:val="Heading1"/>
      </w:pPr>
      <w:r>
        <w:t>个人信息主体权益影响评估</w:t>
      </w:r>
    </w:p>
    <w:p>
      <w:r>
        <w:t>（个人信息主体权益影响评估：LLM未配置，此处为占位内容）</w:t>
      </w:r>
    </w:p>
    <w:p>
      <w:pPr>
        <w:pStyle w:val="Heading1"/>
      </w:pPr>
      <w:r>
        <w:t>技术与组织措施有效性评估</w:t>
      </w:r>
    </w:p>
    <w:p>
      <w:r>
        <w:t>（技术与组织措施有效性评估：LLM未配置，此处为占位内容）</w:t>
      </w:r>
    </w:p>
    <w:p>
      <w:pPr>
        <w:pStyle w:val="Heading1"/>
      </w:pPr>
      <w:r>
        <w:t>事件响应与整改计划</w:t>
      </w:r>
    </w:p>
    <w:p>
      <w:r>
        <w:t>（事件响应与整改计划：LLM未配置，此处为占位内容）</w:t>
      </w:r>
    </w:p>
    <w:p>
      <w:pPr>
        <w:pStyle w:val="Heading1"/>
      </w:pPr>
      <w:r>
        <w:t>PIPIA 结论与备案建议</w:t>
      </w:r>
    </w:p>
    <w:p>
      <w:r>
        <w:t>（PIPIA 结论与备案建议：LLM未配置，此处为占位内容）</w:t>
      </w:r>
    </w:p>
    <w:p>
      <w:pPr>
        <w:pStyle w:val="Heading1"/>
      </w:pPr>
      <w:r>
        <w:t>附件摘要</w:t>
      </w:r>
    </w:p>
    <w:p>
      <w:pPr>
        <w:pStyle w:val="ListBullet"/>
      </w:pPr>
      <w:r>
        <w:t>scc_draft.txt: 脱敏标准合同附件：仅用于本地 PIPIA 文件解析验收。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