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BCR-C Compliance Review Report</w:t>
      </w:r>
    </w:p>
    <w:p>
      <w:r>
        <w:t>{{bcr_subject}}</w:t>
      </w:r>
    </w:p>
    <w:p>
      <w:r>
        <w:t>{{review_scope}}</w:t>
      </w:r>
    </w:p>
    <w:p>
      <w:r>
        <w:t>{{review_date}}</w:t>
      </w:r>
    </w:p>
    <w:p>
      <w:r>
        <w:t>Overall Rating: {{overall_rating}}</w:t>
      </w:r>
    </w:p>
    <w:p>
      <w:r>
        <w:t>Key Findings: {{key_findings}}</w:t>
      </w:r>
    </w:p>
    <w:p>
      <w:r>
        <w:t>Detailed: {{detailed_findings}}</w:t>
      </w:r>
    </w:p>
    <w:p>
      <w:r>
        <w:t>High Risk: {{high_risk_items}}</w:t>
      </w:r>
    </w:p>
    <w:p>
      <w:r>
        <w:t>Medium Risk: {{medium_risk_items}}</w:t>
      </w:r>
    </w:p>
    <w:p>
      <w:r>
        <w:t>Low Risk: {{low_risk_items}}</w:t>
      </w:r>
    </w:p>
    <w:p>
      <w:r>
        <w:t>Remediation: {{remediation_roadmap}}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