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BINDING CORPORATE RULES FOR CONTROLLERS (BCR-C)</w:t>
      </w:r>
    </w:p>
    <w:p>
      <w:pPr>
        <w:jc w:val="center"/>
      </w:pPr>
      <w:r>
        <w:rPr>
          <w:b/>
        </w:rPr>
        <w:t>GlobalTech Inc.</w:t>
      </w:r>
    </w:p>
    <w:p/>
    <w:p>
      <w:pPr>
        <w:pStyle w:val="Heading1"/>
      </w:pPr>
      <w:r>
        <w:t>Section 1: Legally Binding Nature and Effective Enforcement</w:t>
      </w:r>
    </w:p>
    <w:p>
      <w:r>
        <w:t>These Binding Corporate Rules ("BCRs") constitute a legally binding unilateral undertaking by GlobalTech Inc., a corporation organized under the laws of Ireland (registered number IE-8765432) with its registered office at 42 Silicon Docks, Dublin 2, Ireland ("GlobalTech" or the "Group"), in favour of the data subjects whose personal data are processed within the scope of these BCRs. GlobalTech Inc. assumes full liability for any breach of these BCRs by any member of the GlobalTech group of companies (the "Group Members") located outside the European Economic Area ("EEA").</w:t>
      </w:r>
    </w:p>
    <w:p>
      <w:r>
        <w:t>All Group Members, including those located in the United States, India, and Singapore, shall be bound by these BCRs through an intra-group agreement executed pursuant to Section 7 below. Each Group Member shall take all necessary steps to implement these BCRs within its respective operations and shall cooperate with the lead supervisory authority to demonstrate compliance.</w:t>
      </w:r>
    </w:p>
    <w:p>
      <w:pPr>
        <w:pStyle w:val="Heading1"/>
      </w:pPr>
      <w:r>
        <w:t>Section 2: Third Party Beneficiary Rights</w:t>
      </w:r>
    </w:p>
    <w:p>
      <w:r>
        <w:t>Data subjects whose personal data are processed under these BCRs shall have the right to enforce the following provisions as third party beneficiaries: (a) the data protection principles set out in Section 4; (b) the transparency and information obligations set out in Section 5; (c) the data subject rights set out in Section 6; (d) the complaint and redress mechanisms set out in Section 8. Data subjects may lodge complaints with the competent supervisory authority in the Member State of their habitual residence, place of work, or place of the alleged infringement, or bring proceedings before the courts of the Member State where GlobalTech Inc. (as the EU-established controller) has its main establishment.</w:t>
      </w:r>
    </w:p>
    <w:p>
      <w:pPr>
        <w:pStyle w:val="Heading1"/>
      </w:pPr>
      <w:r>
        <w:t>Section 3: EU Responsible Entity and Compensation</w:t>
      </w:r>
    </w:p>
    <w:p>
      <w:r>
        <w:t>GlobalTech Inc. (Ireland) shall be the entity responsible for ensuring compliance with these BCRs within the EEA and shall serve as the single point of contact for data subjects and supervisory authorities. GlobalTech Inc. accepts responsibility for and agrees to compensate any data subject who suffers material or non-material damage as a result of a breach of these BCRs by any Group Member outside the EEA. The burden of proof shall rest with GlobalTech Inc. to demonstrate that the Group Member outside the EEA is not responsible for the event giving rise to the damage.</w:t>
      </w:r>
    </w:p>
    <w:p>
      <w:pPr>
        <w:pStyle w:val="Heading1"/>
      </w:pPr>
      <w:r>
        <w:t>Section 4: Data Protection Principles</w:t>
      </w:r>
    </w:p>
    <w:p>
      <w:r>
        <w:t>All processing of personal data under these BCRs shall comply with the following principles: (i) lawfulness, fairness and transparency; (ii) purpose limitation; (iii) data minimisation; (iv) accuracy; (v) storage limitation; (vi) integrity and confidentiality (security); and (vii) accountability. These principles shall be applied in a manner consistent with the standards established by Regulation (EU) 2016/679 (the "GDPR") and applicable guidance issued by the European Data Protection Board ("EDPB").</w:t>
      </w:r>
    </w:p>
    <w:p>
      <w:pPr>
        <w:pStyle w:val="Heading1"/>
      </w:pPr>
      <w:r>
        <w:t>Section 5: Transparency and Information Obligations</w:t>
      </w:r>
    </w:p>
    <w:p>
      <w:r>
        <w:t>GlobalTech Inc. shall maintain an up-to-date privacy notice, publicly accessible at https://www.globaltech.com/privacy, which shall include: (a) the identity and contact details of GlobalTech Inc. and its Data Protection Officer ("DPO"); (b) the categories of personal data processed and the purposes of processing; (c) the list of Group Members and third countries to which data are transferred; (d) a reference to these BCRs and the data subject rights granted thereunder; (e) information on how to exercise data subject rights and lodge complaints.</w:t>
      </w:r>
    </w:p>
    <w:p>
      <w:pPr>
        <w:pStyle w:val="Heading1"/>
      </w:pPr>
      <w:r>
        <w:t>Section 6: Data Subject Rights and Effective Enforcement</w:t>
      </w:r>
    </w:p>
    <w:p>
      <w:r>
        <w:t>Data subjects shall have the right to: (a) access their personal data and obtain a copy thereof; (b) request rectification of inaccurate personal data; (c) request erasure of personal data under the conditions of Article 17 GDPR; (d) restrict processing under the conditions of Article 18 GDPR; (e) object to processing on grounds relating to their particular situation; (f) data portability under Article 20 GDPR; and (g) not be subject to automated individual decision-making, including profiling, which produces legal effects or similarly significantly affects them. All rights requests shall be addressed to privacy@globaltech.com and acknowledged within five (5) business days.</w:t>
      </w:r>
    </w:p>
    <w:p>
      <w:pPr>
        <w:pStyle w:val="Heading1"/>
      </w:pPr>
      <w:r>
        <w:t>Section 7: Transfer to Third Parties Outside the Group</w:t>
      </w:r>
    </w:p>
    <w:p>
      <w:r>
        <w:t>Personal data processed under these BCRs may be transferred to third parties outside the GlobalTech group provided that: (a) the transfer serves a legitimate business purpose consistent with the original purpose of processing; and (b) the third party has been assessed as a "trusted partner" with adequate security practices. GlobalTech shall maintain a list of approved third parties and shall review such list on an annual basis.</w:t>
      </w:r>
    </w:p>
    <w:p>
      <w:r>
        <w:t>Where a third party is located in a country not recognised by the European Commission as providing an adequate level of protection, GlobalTech shall ensure that appropriate contractual safeguards are in place.</w:t>
      </w:r>
    </w:p>
    <w:p>
      <w:pPr>
        <w:pStyle w:val="Heading1"/>
      </w:pPr>
      <w:r>
        <w:t>Section 8: Complaint Handling and Redress Mechanism</w:t>
      </w:r>
    </w:p>
    <w:p>
      <w:r>
        <w:t>Data subjects may submit complaints regarding the processing of their personal data under these BCRs by email to privacy@globaltech.com or by post to the attention of the Data Protection Officer at GlobalTech Inc., 42 Silicon Docks, Dublin 2, Ireland. GlobalTech Inc. shall investigate all complaints promptly and shall respond to the data subject in a timely manner.</w:t>
      </w:r>
    </w:p>
    <w:p>
      <w:r>
        <w:t>Complaints relating to the activities of Group Members located outside the EEA shall be redirected to the relevant Group Member for investigation and response, with a copy to GlobalTech Inc. for oversight purposes.</w:t>
      </w:r>
    </w:p>
    <w:p>
      <w:pPr>
        <w:pStyle w:val="Heading1"/>
      </w:pPr>
      <w:r>
        <w:t>Section 9: Assessment of Third Country Laws and Practices</w:t>
      </w:r>
    </w:p>
    <w:p>
      <w:r>
        <w:t>GlobalTech Inc. commits to conducting assessments of the laws and practices of third countries to which personal data are transferred under these BCRs, to verify that such laws do not prevent the Group Members from complying with these BCRs. Such assessments shall be conducted periodically and shall be documented.</w:t>
      </w:r>
    </w:p>
    <w:p>
      <w:r>
        <w:t>Where an assessment identifies a material risk that the laws of a third country may impinge on the effectiveness of these BCRs, GlobalTech Inc. shall implement appropriate supplementary measures and shall promptly notify the lead supervisory authority. In the event that a Group Member receives a legally binding request from a public authority for disclosure of personal data, the Group Member shall notify GlobalTech Inc. and, to the extent legally permissible, shall challenge such request and inform the data subject.</w:t>
      </w:r>
    </w:p>
    <w:p>
      <w:pPr>
        <w:pStyle w:val="Heading1"/>
      </w:pPr>
      <w:r>
        <w:t>Section 10: Training, Awareness and Audit</w:t>
      </w:r>
    </w:p>
    <w:p>
      <w:r>
        <w:t>GlobalTech Inc. shall ensure that all Group Members provide appropriate data protection training to personnel who have access to personal data processed under these BCRs. Training shall be conducted at least annually and upon material updates to these BCRs. Completion of training shall be documented. GlobalTech Inc. shall conduct internal audits of compliance with these BCRs at least once per calendar year. Audit reports shall be made available to the lead supervisory authority upon request.</w:t>
      </w:r>
    </w:p>
    <w:p>
      <w:pPr>
        <w:pStyle w:val="Heading1"/>
      </w:pPr>
      <w:r>
        <w:t>Section 11: Cooperation with Supervisory Authorities</w:t>
      </w:r>
    </w:p>
    <w:p>
      <w:r>
        <w:t>GlobalTech Inc. and all Group Members shall cooperate fully with supervisory authorities and shall accept audits by the lead supervisory authority for the purpose of reviewing compliance with these BCRs. GlobalTech Inc. shall designate a dedicated contact person for supervisory authority communications, whose contact details shall be communicated to the lead supervisory authority. Any material changes to these BCRs, including changes to the list of Group Members, shall be communicated to the lead supervisory authority without undue delay.</w:t>
      </w:r>
    </w:p>
    <w:p>
      <w:pPr>
        <w:pStyle w:val="Heading1"/>
      </w:pPr>
      <w:r>
        <w:t>Section 12: BCR Update and Review Mechanism</w:t>
      </w:r>
    </w:p>
    <w:p>
      <w:r>
        <w:t>These BCRs shall be reviewed at least annually, and upon the occurrence of any material change in the Group's structure, processing activities, or the legal framework applicable to personal data transfers. Any amendments to these BCRs shall be approved by the GlobalTech Inc. Board of Directors and shall be communicated to the lead supervisory authority and to data subjects through the privacy notice referenced in Section 5. A record of all amendments shall be maintained and made available upon request.</w:t>
      </w:r>
    </w:p>
    <w:p>
      <w:pPr>
        <w:pStyle w:val="Heading1"/>
      </w:pPr>
      <w:r>
        <w:t>Section 13: Definitions and Interpretation</w:t>
      </w:r>
    </w:p>
    <w:p>
      <w:r>
        <w:t>Terms used in these BCRs shall have the same meaning as defined in Article 4 of the GDPR, unless otherwise specified. In the event of any inconsistency between these BCRs and applicable data protection law, the latter shall prevail to the extent of the inconsistency. These BCRs shall be governed by and construed in accordance with the laws of Ireland.</w:t>
      </w:r>
    </w:p>
    <w:p>
      <w:pPr>
        <w:pStyle w:val="Heading1"/>
      </w:pPr>
      <w:r>
        <w:t>Section 14: Scope and List of Group Members</w:t>
      </w:r>
    </w:p>
    <w:p>
      <w:r>
        <w:t>These BCRs apply to all transfers of personal data from Group Members established in the EEA to Group Members located in third countries. The current list of Group Members is maintained in Annex A to these BCRs and includes entities in Ireland (GlobalTech Inc., parent company), Germany (GlobalTech Deutschland GmbH), France (GlobalTech France SAS), the United States (GlobalTech Americas Inc., Delaware), India (GlobalTech India Solutions Pvt. Ltd., Bangalore), and Singapore (GlobalTech Asia-Pacific Pte. Ltd.).</w:t>
      </w:r>
    </w:p>
    <w:p>
      <w:pPr>
        <w:pStyle w:val="Heading2"/>
      </w:pPr>
      <w:r>
        <w:t>Annex A: List of Group Members</w:t>
      </w:r>
    </w:p>
    <w:p>
      <w:r>
        <w:t>[Details of all Group Members maintained separately and available to the lead supervisory authority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