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EU Tech Solutions GmbH EU SCC 审查报告</w:t>
      </w:r>
    </w:p>
    <w:p>
      <w:pPr>
        <w:pStyle w:val="Heading1"/>
      </w:pPr>
      <w:r>
        <w:t>文件概要</w:t>
      </w:r>
    </w:p>
    <w:p>
      <w:r>
        <w:t>## 文件概要</w:t>
      </w:r>
    </w:p>
    <w:p>
      <w:pPr>
        <w:pStyle w:val="ListBullet"/>
      </w:pPr>
      <w:r>
        <w:t>SCC 模块: 声明=Module Two, 预期=Module Two, 正确=是</w:t>
      </w:r>
    </w:p>
    <w:p>
      <w:pPr>
        <w:pStyle w:val="ListBullet"/>
      </w:pPr>
      <w:r>
        <w:t>条款数: 1</w:t>
      </w:r>
    </w:p>
    <w:p>
      <w:pPr>
        <w:pStyle w:val="ListBullet"/>
      </w:pPr>
      <w:r>
        <w:t>Annex I.A 主体数: 0</w:t>
      </w:r>
    </w:p>
    <w:p>
      <w:pPr>
        <w:pStyle w:val="ListBullet"/>
      </w:pPr>
      <w:r>
        <w:t>Annex II 措施数: 0</w:t>
      </w:r>
    </w:p>
    <w:p>
      <w:pPr>
        <w:pStyle w:val="ListBullet"/>
      </w:pPr>
      <w:r>
        <w:t>Annex III 子处理者数: 0</w:t>
      </w:r>
    </w:p>
    <w:p>
      <w:pPr>
        <w:pStyle w:val="Heading1"/>
      </w:pPr>
      <w:r>
        <w:t>总体合规评级</w:t>
      </w:r>
    </w:p>
    <w:p>
      <w:r>
        <w:t>## 总体合规评级: HIGH</w:t>
      </w:r>
    </w:p>
    <w:p>
      <w:pPr>
        <w:pStyle w:val="ListBullet"/>
      </w:pPr>
      <w:r>
        <w:t>模块选择: 正确</w:t>
      </w:r>
    </w:p>
    <w:p>
      <w:pPr>
        <w:pStyle w:val="ListBullet"/>
      </w:pPr>
      <w:r>
        <w:t>标准条款偏离: 0处</w:t>
      </w:r>
    </w:p>
    <w:p>
      <w:pPr>
        <w:pStyle w:val="ListBullet"/>
      </w:pPr>
      <w:r>
        <w:t>第三国传输: 否</w:t>
      </w:r>
    </w:p>
    <w:p>
      <w:pPr>
        <w:pStyle w:val="ListBullet"/>
      </w:pPr>
      <w:r>
        <w:t>TIA: 缺失</w:t>
      </w:r>
    </w:p>
    <w:p>
      <w:pPr>
        <w:pStyle w:val="ListBullet"/>
      </w:pPr>
      <w:r>
        <w:t>Schrems II 补充措施: 不足</w:t>
      </w:r>
    </w:p>
    <w:p>
      <w:pPr>
        <w:pStyle w:val="Heading1"/>
      </w:pPr>
      <w:r>
        <w:t>条款级审查发现</w:t>
      </w:r>
    </w:p>
    <w:p>
      <w:r>
        <w:t>## 条款级审查发现</w:t>
      </w:r>
    </w:p>
    <w:p>
      <w:r>
        <w:t>### [MEDIUM] Annex I.A</w:t>
      </w:r>
    </w:p>
    <w:p>
      <w:pPr>
        <w:pStyle w:val="ListBullet"/>
      </w:pPr>
      <w:r>
        <w:t>问题类型: annex_incomplete</w:t>
      </w:r>
    </w:p>
    <w:p>
      <w:pPr>
        <w:pStyle w:val="ListBullet"/>
      </w:pPr>
      <w:r>
        <w:t>风险分析: Less than 2 parties identified in Annex I.A. Docking Clause (Clause 7) parties may also be missing.</w:t>
      </w:r>
    </w:p>
    <w:p>
      <w:pPr>
        <w:pStyle w:val="ListBullet"/>
      </w:pPr>
      <w:r>
        <w:t>法规依据: EU 2021/914 Annex I.A; Clause 7</w:t>
      </w:r>
    </w:p>
    <w:p>
      <w:pPr>
        <w:pStyle w:val="ListBullet"/>
      </w:pPr>
      <w:r>
        <w:t>修改建议: Complete Annex I.A with all data exporters and importers, including any additional parties via Docking Clause.</w:t>
      </w:r>
    </w:p>
    <w:p>
      <w:r>
        <w:t>### [HIGH] Annex II</w:t>
      </w:r>
    </w:p>
    <w:p>
      <w:pPr>
        <w:pStyle w:val="ListBullet"/>
      </w:pPr>
      <w:r>
        <w:t>问题类型: annex_incomplete</w:t>
      </w:r>
    </w:p>
    <w:p>
      <w:pPr>
        <w:pStyle w:val="ListBullet"/>
      </w:pPr>
      <w:r>
        <w:t>风险分析: Annex II (Technical and Organisational Measures) appears empty or could not be parsed. Without specified TOMs, the SCC does not demonstrate adequate data protection safeguards.</w:t>
      </w:r>
    </w:p>
    <w:p>
      <w:pPr>
        <w:pStyle w:val="ListBullet"/>
      </w:pPr>
      <w:r>
        <w:t>法规依据: EU 2021/914 Annex II; GDPR Articles 32, 46</w:t>
      </w:r>
    </w:p>
    <w:p>
      <w:pPr>
        <w:pStyle w:val="ListBullet"/>
      </w:pPr>
      <w:r>
        <w:t>修改建议: Complete Annex II with specific technical and organisational measures, including encryption standards, access controls, incident response, and data minimization practices.</w:t>
      </w:r>
    </w:p>
    <w:p>
      <w:r>
        <w:t>### [HIGH] Annex II / TIA</w:t>
      </w:r>
    </w:p>
    <w:p>
      <w:pPr>
        <w:pStyle w:val="ListBullet"/>
      </w:pPr>
      <w:r>
        <w:t>问题类型: supplementary_measures_insufficient</w:t>
      </w:r>
    </w:p>
    <w:p>
      <w:pPr>
        <w:pStyle w:val="ListBullet"/>
      </w:pPr>
      <w:r>
        <w:t>风险分析: Technical: insufficient (Technical measures are limited or not detected.). Contractual: missing. Organizational: missing. Overall: insufficient.</w:t>
      </w:r>
    </w:p>
    <w:p>
      <w:pPr>
        <w:pStyle w:val="ListBullet"/>
      </w:pPr>
      <w:r>
        <w:t>法规依据: Schrems II C-311/18; EDPB Recommendations 01/2020; GDPR Article 46</w:t>
      </w:r>
    </w:p>
    <w:p>
      <w:pPr>
        <w:pStyle w:val="ListBullet"/>
      </w:pPr>
      <w:r>
        <w:t>修改建议: Technical: implement e2ee_eu_keys, basic_encryption_only, access_controls | Contractual: add gov_access, onward_restrictions | Organizational: establish audit, logging, key_management</w:t>
      </w:r>
    </w:p>
    <w:p>
      <w:pPr>
        <w:pStyle w:val="Heading1"/>
      </w:pPr>
      <w:r>
        <w:t>法规依据与修改建议</w:t>
      </w:r>
    </w:p>
    <w:p>
      <w:r>
        <w:t>## 法规依据与修改建议</w:t>
      </w:r>
    </w:p>
    <w:p>
      <w:pPr>
        <w:pStyle w:val="ListBullet"/>
      </w:pPr>
      <w:r>
        <w:t>EU 2021/914 Annex I.A; Clause 7</w:t>
      </w:r>
    </w:p>
    <w:p>
      <w:pPr>
        <w:pStyle w:val="ListBullet"/>
      </w:pPr>
      <w:r>
        <w:t>EU 2021/914 Annex II; GDPR Articles 32, 46</w:t>
      </w:r>
    </w:p>
    <w:p>
      <w:pPr>
        <w:pStyle w:val="ListBullet"/>
      </w:pPr>
      <w:r>
        <w:t>Schrems II C-311/18; EDPB Recommendations 01/2020; GDPR Article 46</w:t>
      </w:r>
    </w:p>
    <w:p>
      <w:r>
        <w:t>### 修改建议汇总</w:t>
      </w:r>
    </w:p>
    <w:p>
      <w:pPr>
        <w:pStyle w:val="ListBullet"/>
      </w:pPr>
      <w:r>
        <w:t>[MEDIUM] Annex I.A: Complete Annex I.A with all data exporters and importers, including any additional parties via Docking Clause.</w:t>
      </w:r>
    </w:p>
    <w:p>
      <w:pPr>
        <w:pStyle w:val="ListBullet"/>
      </w:pPr>
      <w:r>
        <w:t>[HIGH] Annex II: Complete Annex II with specific technical and organisational measures, including encryption standards, access controls, incident response, and data minimization practices.</w:t>
      </w:r>
    </w:p>
    <w:p>
      <w:pPr>
        <w:pStyle w:val="ListBullet"/>
      </w:pPr>
      <w:r>
        <w:t>[HIGH] Annex II / TIA: Technical: implement e2ee_eu_keys, basic_encryption_only, access_controls | Contractual: add gov_access, onward_restrictions | Organizational: establish audit, logging, key_management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